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ADCC" w14:textId="527D92D0" w:rsidR="00EE2939" w:rsidRPr="00690232" w:rsidRDefault="00B33D56" w:rsidP="00EE2939">
      <w:pPr>
        <w:spacing w:after="0" w:line="240" w:lineRule="auto"/>
        <w:jc w:val="center"/>
        <w:rPr>
          <w:rFonts w:ascii="Times New Roman" w:eastAsia="Times New Roman" w:hAnsi="Times New Roman" w:cs="Times New Roman"/>
          <w:highlight w:val="yellow"/>
        </w:rPr>
      </w:pPr>
      <w:r>
        <w:rPr>
          <w:noProof/>
          <w14:ligatures w14:val="standardContextual"/>
        </w:rPr>
        <w:drawing>
          <wp:anchor distT="0" distB="0" distL="114300" distR="114300" simplePos="0" relativeHeight="251659264" behindDoc="0" locked="0" layoutInCell="1" allowOverlap="1" wp14:anchorId="752C61DA" wp14:editId="76052200">
            <wp:simplePos x="0" y="0"/>
            <wp:positionH relativeFrom="column">
              <wp:posOffset>5873750</wp:posOffset>
            </wp:positionH>
            <wp:positionV relativeFrom="paragraph">
              <wp:posOffset>0</wp:posOffset>
            </wp:positionV>
            <wp:extent cx="913765" cy="1101725"/>
            <wp:effectExtent l="0" t="0" r="635" b="3175"/>
            <wp:wrapNone/>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anchor>
        </w:drawing>
      </w:r>
      <w:r w:rsidR="00F446BD">
        <w:rPr>
          <w:rFonts w:ascii="Times New Roman" w:eastAsia="Times New Roman" w:hAnsi="Times New Roman" w:cs="Times New Roman"/>
          <w:b/>
          <w:bCs/>
        </w:rPr>
        <w:t>AEC6932</w:t>
      </w:r>
      <w:r w:rsidR="00EB5477" w:rsidRPr="00EB5477">
        <w:rPr>
          <w:rFonts w:ascii="Times New Roman" w:eastAsia="Times New Roman" w:hAnsi="Times New Roman" w:cs="Times New Roman"/>
          <w:b/>
          <w:bCs/>
        </w:rPr>
        <w:t xml:space="preserve"> </w:t>
      </w:r>
      <w:r w:rsidR="00EE2939" w:rsidRPr="0085772F">
        <w:rPr>
          <w:rFonts w:ascii="Times New Roman" w:eastAsia="Times New Roman" w:hAnsi="Times New Roman" w:cs="Times New Roman"/>
          <w:b/>
          <w:bCs/>
        </w:rPr>
        <w:t xml:space="preserve">Partisanship </w:t>
      </w:r>
      <w:r w:rsidR="00F446BD">
        <w:rPr>
          <w:rFonts w:ascii="Times New Roman" w:eastAsia="Times New Roman" w:hAnsi="Times New Roman" w:cs="Times New Roman"/>
          <w:b/>
          <w:bCs/>
        </w:rPr>
        <w:t>in Agriculture and</w:t>
      </w:r>
      <w:r w:rsidR="00EE2939" w:rsidRPr="0085772F">
        <w:rPr>
          <w:rFonts w:ascii="Times New Roman" w:eastAsia="Times New Roman" w:hAnsi="Times New Roman" w:cs="Times New Roman"/>
          <w:b/>
          <w:bCs/>
        </w:rPr>
        <w:t xml:space="preserve"> Natural Resources</w:t>
      </w:r>
    </w:p>
    <w:p w14:paraId="5A2F6458" w14:textId="204324DC" w:rsidR="00EE2939" w:rsidRPr="00EB5477" w:rsidRDefault="00EB5477" w:rsidP="00EE2939">
      <w:pPr>
        <w:spacing w:after="0" w:line="240" w:lineRule="auto"/>
        <w:jc w:val="center"/>
        <w:rPr>
          <w:rFonts w:ascii="Times New Roman" w:eastAsia="Times New Roman" w:hAnsi="Times New Roman" w:cs="Times New Roman"/>
        </w:rPr>
      </w:pPr>
      <w:r w:rsidRPr="00EB5477">
        <w:rPr>
          <w:rFonts w:ascii="Times New Roman" w:eastAsia="Times New Roman" w:hAnsi="Times New Roman" w:cs="Times New Roman"/>
        </w:rPr>
        <w:t xml:space="preserve">Wednesday </w:t>
      </w:r>
      <w:r w:rsidR="00563955">
        <w:rPr>
          <w:rFonts w:ascii="Times New Roman" w:eastAsia="Times New Roman" w:hAnsi="Times New Roman" w:cs="Times New Roman"/>
        </w:rPr>
        <w:t>9</w:t>
      </w:r>
      <w:r w:rsidRPr="00EB5477">
        <w:rPr>
          <w:rFonts w:ascii="Times New Roman" w:eastAsia="Times New Roman" w:hAnsi="Times New Roman" w:cs="Times New Roman"/>
        </w:rPr>
        <w:t>:</w:t>
      </w:r>
      <w:r w:rsidR="00563955">
        <w:rPr>
          <w:rFonts w:ascii="Times New Roman" w:eastAsia="Times New Roman" w:hAnsi="Times New Roman" w:cs="Times New Roman"/>
        </w:rPr>
        <w:t>3</w:t>
      </w:r>
      <w:r w:rsidR="002102FB">
        <w:rPr>
          <w:rFonts w:ascii="Times New Roman" w:eastAsia="Times New Roman" w:hAnsi="Times New Roman" w:cs="Times New Roman"/>
        </w:rPr>
        <w:t>0</w:t>
      </w:r>
      <w:r w:rsidRPr="00EB5477">
        <w:rPr>
          <w:rFonts w:ascii="Times New Roman" w:eastAsia="Times New Roman" w:hAnsi="Times New Roman" w:cs="Times New Roman"/>
        </w:rPr>
        <w:t xml:space="preserve"> – </w:t>
      </w:r>
      <w:r w:rsidR="00563955">
        <w:rPr>
          <w:rFonts w:ascii="Times New Roman" w:eastAsia="Times New Roman" w:hAnsi="Times New Roman" w:cs="Times New Roman"/>
        </w:rPr>
        <w:t>12</w:t>
      </w:r>
      <w:r w:rsidRPr="00EB5477">
        <w:rPr>
          <w:rFonts w:ascii="Times New Roman" w:eastAsia="Times New Roman" w:hAnsi="Times New Roman" w:cs="Times New Roman"/>
        </w:rPr>
        <w:t>:</w:t>
      </w:r>
      <w:r w:rsidR="00563955">
        <w:rPr>
          <w:rFonts w:ascii="Times New Roman" w:eastAsia="Times New Roman" w:hAnsi="Times New Roman" w:cs="Times New Roman"/>
        </w:rPr>
        <w:t>3</w:t>
      </w:r>
      <w:r w:rsidR="002102FB">
        <w:rPr>
          <w:rFonts w:ascii="Times New Roman" w:eastAsia="Times New Roman" w:hAnsi="Times New Roman" w:cs="Times New Roman"/>
        </w:rPr>
        <w:t>0</w:t>
      </w:r>
    </w:p>
    <w:p w14:paraId="672959C2" w14:textId="4B92D9CE" w:rsidR="00EE2939" w:rsidRPr="00EB5477" w:rsidRDefault="00EB5477" w:rsidP="00EE2939">
      <w:pPr>
        <w:spacing w:after="0" w:line="240" w:lineRule="auto"/>
        <w:jc w:val="center"/>
        <w:rPr>
          <w:rFonts w:ascii="Times New Roman" w:eastAsia="Times New Roman" w:hAnsi="Times New Roman" w:cs="Times New Roman"/>
        </w:rPr>
      </w:pPr>
      <w:r w:rsidRPr="00EB5477">
        <w:rPr>
          <w:rFonts w:ascii="Times New Roman" w:eastAsia="Times New Roman" w:hAnsi="Times New Roman" w:cs="Times New Roman"/>
        </w:rPr>
        <w:t xml:space="preserve">Location: </w:t>
      </w:r>
      <w:r w:rsidR="00641772">
        <w:rPr>
          <w:rFonts w:ascii="Times New Roman" w:eastAsia="Times New Roman" w:hAnsi="Times New Roman" w:cs="Times New Roman"/>
        </w:rPr>
        <w:t>Bryant 107</w:t>
      </w:r>
    </w:p>
    <w:p w14:paraId="0C09F253" w14:textId="1F866FC3" w:rsidR="00EE2939" w:rsidRPr="0085772F" w:rsidRDefault="000D41B8" w:rsidP="0085772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Fall 202</w:t>
      </w:r>
      <w:r w:rsidR="00641772">
        <w:rPr>
          <w:rFonts w:ascii="Times New Roman" w:eastAsia="Times New Roman" w:hAnsi="Times New Roman" w:cs="Times New Roman"/>
        </w:rPr>
        <w:t>5</w:t>
      </w:r>
      <w:r w:rsidR="0085772F" w:rsidRPr="00EB5477">
        <w:rPr>
          <w:rFonts w:ascii="Times New Roman" w:eastAsia="Times New Roman" w:hAnsi="Times New Roman" w:cs="Times New Roman"/>
        </w:rPr>
        <w:t>, 3 Credits</w:t>
      </w:r>
    </w:p>
    <w:p w14:paraId="63F1E87A" w14:textId="77777777" w:rsidR="00EE2939" w:rsidRPr="0085772F" w:rsidRDefault="00EE2939" w:rsidP="00C27AFA">
      <w:pPr>
        <w:spacing w:after="0" w:line="240" w:lineRule="auto"/>
        <w:rPr>
          <w:rFonts w:ascii="Times New Roman" w:eastAsia="Times New Roman" w:hAnsi="Times New Roman" w:cs="Times New Roman"/>
          <w:b/>
          <w:bCs/>
        </w:rPr>
      </w:pPr>
    </w:p>
    <w:p w14:paraId="54728BD1" w14:textId="10EDC8ED" w:rsidR="00EE2939" w:rsidRPr="0085772F" w:rsidRDefault="00EE2939" w:rsidP="00C27AFA">
      <w:pPr>
        <w:spacing w:after="0" w:line="240" w:lineRule="auto"/>
        <w:rPr>
          <w:rFonts w:ascii="Times New Roman" w:eastAsia="Times New Roman" w:hAnsi="Times New Roman" w:cs="Times New Roman"/>
          <w:b/>
          <w:bCs/>
        </w:rPr>
      </w:pPr>
      <w:r w:rsidRPr="0085772F">
        <w:rPr>
          <w:rFonts w:ascii="Times New Roman" w:eastAsia="Times New Roman" w:hAnsi="Times New Roman" w:cs="Times New Roman"/>
          <w:b/>
          <w:bCs/>
        </w:rPr>
        <w:t>Instructor</w:t>
      </w:r>
    </w:p>
    <w:p w14:paraId="78DF0E0A" w14:textId="4BB62DE2" w:rsidR="00EE2939" w:rsidRPr="0085772F" w:rsidRDefault="00EE2939" w:rsidP="00C27AFA">
      <w:pPr>
        <w:spacing w:after="0" w:line="240" w:lineRule="auto"/>
        <w:rPr>
          <w:rFonts w:ascii="Times New Roman" w:eastAsia="Times New Roman" w:hAnsi="Times New Roman" w:cs="Times New Roman"/>
        </w:rPr>
      </w:pPr>
      <w:r w:rsidRPr="0085772F">
        <w:rPr>
          <w:rFonts w:ascii="Times New Roman" w:eastAsia="Times New Roman" w:hAnsi="Times New Roman" w:cs="Times New Roman"/>
        </w:rPr>
        <w:t>Sadie Hundemer</w:t>
      </w:r>
    </w:p>
    <w:p w14:paraId="270B028E" w14:textId="53F37DF5" w:rsidR="00EE2939" w:rsidRDefault="00EE2939" w:rsidP="00C27AFA">
      <w:pPr>
        <w:spacing w:after="0" w:line="240" w:lineRule="auto"/>
        <w:rPr>
          <w:rFonts w:ascii="Times New Roman" w:eastAsia="Times New Roman" w:hAnsi="Times New Roman" w:cs="Times New Roman"/>
        </w:rPr>
      </w:pPr>
      <w:r w:rsidRPr="0085772F">
        <w:rPr>
          <w:rFonts w:ascii="Times New Roman" w:eastAsia="Times New Roman" w:hAnsi="Times New Roman" w:cs="Times New Roman"/>
        </w:rPr>
        <w:t>shundemer@ufl.edu</w:t>
      </w:r>
    </w:p>
    <w:p w14:paraId="0042BEBC" w14:textId="60352AF3" w:rsidR="00647D64" w:rsidRDefault="00647D64" w:rsidP="00C27AFA">
      <w:pPr>
        <w:spacing w:after="0" w:line="240" w:lineRule="auto"/>
        <w:rPr>
          <w:rFonts w:ascii="Times New Roman" w:eastAsia="Times New Roman" w:hAnsi="Times New Roman" w:cs="Times New Roman"/>
        </w:rPr>
      </w:pPr>
      <w:r>
        <w:rPr>
          <w:rFonts w:ascii="Times New Roman" w:eastAsia="Times New Roman" w:hAnsi="Times New Roman" w:cs="Times New Roman"/>
        </w:rPr>
        <w:t>117A Bryant Hall</w:t>
      </w:r>
    </w:p>
    <w:p w14:paraId="4EB536CA" w14:textId="0BA92597" w:rsidR="003D4CE0" w:rsidRPr="0085772F" w:rsidRDefault="00666853" w:rsidP="00C27AFA">
      <w:pPr>
        <w:spacing w:after="0" w:line="240" w:lineRule="auto"/>
        <w:rPr>
          <w:rFonts w:ascii="Times New Roman" w:eastAsia="Times New Roman" w:hAnsi="Times New Roman" w:cs="Times New Roman"/>
        </w:rPr>
      </w:pPr>
      <w:r>
        <w:rPr>
          <w:rFonts w:ascii="Times New Roman" w:eastAsia="Times New Roman" w:hAnsi="Times New Roman" w:cs="Times New Roman"/>
        </w:rPr>
        <w:t>352-273-2574</w:t>
      </w:r>
    </w:p>
    <w:p w14:paraId="6380F285" w14:textId="435F97A5" w:rsidR="00EE2939" w:rsidRPr="002F0594" w:rsidRDefault="00EE2939" w:rsidP="00C27AFA">
      <w:pPr>
        <w:spacing w:after="0" w:line="240" w:lineRule="auto"/>
        <w:rPr>
          <w:rFonts w:ascii="Times New Roman" w:eastAsia="Times New Roman" w:hAnsi="Times New Roman" w:cs="Times New Roman"/>
        </w:rPr>
      </w:pPr>
      <w:r w:rsidRPr="002F0594">
        <w:rPr>
          <w:rFonts w:ascii="Times New Roman" w:eastAsia="Times New Roman" w:hAnsi="Times New Roman" w:cs="Times New Roman"/>
        </w:rPr>
        <w:t xml:space="preserve">Office Hours: </w:t>
      </w:r>
      <w:r w:rsidR="00DB70C3">
        <w:rPr>
          <w:rFonts w:ascii="Times New Roman" w:eastAsia="Times New Roman" w:hAnsi="Times New Roman" w:cs="Times New Roman"/>
        </w:rPr>
        <w:t>Wednesday</w:t>
      </w:r>
      <w:r w:rsidR="00E6146C">
        <w:rPr>
          <w:rFonts w:ascii="Times New Roman" w:eastAsia="Times New Roman" w:hAnsi="Times New Roman" w:cs="Times New Roman"/>
        </w:rPr>
        <w:t xml:space="preserve"> </w:t>
      </w:r>
      <w:r w:rsidR="00DB70C3">
        <w:rPr>
          <w:rFonts w:ascii="Times New Roman" w:eastAsia="Times New Roman" w:hAnsi="Times New Roman" w:cs="Times New Roman"/>
        </w:rPr>
        <w:t>3</w:t>
      </w:r>
      <w:r w:rsidR="00E6146C">
        <w:rPr>
          <w:rFonts w:ascii="Times New Roman" w:eastAsia="Times New Roman" w:hAnsi="Times New Roman" w:cs="Times New Roman"/>
        </w:rPr>
        <w:t>:00</w:t>
      </w:r>
      <w:r w:rsidR="00DB70C3">
        <w:rPr>
          <w:rFonts w:ascii="Times New Roman" w:eastAsia="Times New Roman" w:hAnsi="Times New Roman" w:cs="Times New Roman"/>
        </w:rPr>
        <w:t>p</w:t>
      </w:r>
      <w:r w:rsidR="00E6146C">
        <w:rPr>
          <w:rFonts w:ascii="Times New Roman" w:eastAsia="Times New Roman" w:hAnsi="Times New Roman" w:cs="Times New Roman"/>
        </w:rPr>
        <w:t xml:space="preserve">m – </w:t>
      </w:r>
      <w:r w:rsidR="00DB70C3">
        <w:rPr>
          <w:rFonts w:ascii="Times New Roman" w:eastAsia="Times New Roman" w:hAnsi="Times New Roman" w:cs="Times New Roman"/>
        </w:rPr>
        <w:t>5</w:t>
      </w:r>
      <w:r w:rsidR="00E6146C">
        <w:rPr>
          <w:rFonts w:ascii="Times New Roman" w:eastAsia="Times New Roman" w:hAnsi="Times New Roman" w:cs="Times New Roman"/>
        </w:rPr>
        <w:t>:</w:t>
      </w:r>
      <w:r w:rsidR="003A0581">
        <w:rPr>
          <w:rFonts w:ascii="Times New Roman" w:eastAsia="Times New Roman" w:hAnsi="Times New Roman" w:cs="Times New Roman"/>
        </w:rPr>
        <w:t>00</w:t>
      </w:r>
      <w:r w:rsidR="00887E75">
        <w:rPr>
          <w:rFonts w:ascii="Times New Roman" w:eastAsia="Times New Roman" w:hAnsi="Times New Roman" w:cs="Times New Roman"/>
        </w:rPr>
        <w:t>p</w:t>
      </w:r>
      <w:r w:rsidR="00E6146C">
        <w:rPr>
          <w:rFonts w:ascii="Times New Roman" w:eastAsia="Times New Roman" w:hAnsi="Times New Roman" w:cs="Times New Roman"/>
        </w:rPr>
        <w:t xml:space="preserve">m </w:t>
      </w:r>
      <w:r w:rsidR="00C954C7">
        <w:rPr>
          <w:rFonts w:ascii="Times New Roman" w:eastAsia="Times New Roman" w:hAnsi="Times New Roman" w:cs="Times New Roman"/>
        </w:rPr>
        <w:t>or by appointment</w:t>
      </w:r>
    </w:p>
    <w:p w14:paraId="30AE55A4" w14:textId="77777777" w:rsidR="00137F73" w:rsidRPr="0085772F" w:rsidRDefault="00137F73" w:rsidP="00C27AFA">
      <w:pPr>
        <w:spacing w:after="0" w:line="240" w:lineRule="auto"/>
        <w:rPr>
          <w:rFonts w:ascii="Times New Roman" w:eastAsia="Times New Roman" w:hAnsi="Times New Roman" w:cs="Times New Roman"/>
          <w:b/>
          <w:bCs/>
        </w:rPr>
      </w:pPr>
    </w:p>
    <w:p w14:paraId="711B9A8F" w14:textId="0C73457B" w:rsidR="00C27AFA" w:rsidRDefault="00F03D38" w:rsidP="00C27A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w:t>
      </w:r>
      <w:r w:rsidR="00C27AFA" w:rsidRPr="0085772F">
        <w:rPr>
          <w:rFonts w:ascii="Times New Roman" w:eastAsia="Times New Roman" w:hAnsi="Times New Roman" w:cs="Times New Roman"/>
          <w:b/>
          <w:bCs/>
        </w:rPr>
        <w:t xml:space="preserve"> Description</w:t>
      </w:r>
    </w:p>
    <w:p w14:paraId="51B56A8D" w14:textId="77777777" w:rsidR="007027A7" w:rsidRDefault="007027A7" w:rsidP="007027A7">
      <w:pPr>
        <w:spacing w:after="0" w:line="240" w:lineRule="auto"/>
        <w:rPr>
          <w:rFonts w:ascii="Times New Roman" w:eastAsia="Times New Roman" w:hAnsi="Times New Roman" w:cs="Times New Roman"/>
        </w:rPr>
      </w:pPr>
      <w:r w:rsidRPr="00FC2C0A">
        <w:rPr>
          <w:rFonts w:ascii="Times New Roman" w:eastAsia="Times New Roman" w:hAnsi="Times New Roman" w:cs="Times New Roman"/>
        </w:rPr>
        <w:t>Stakeholder conflict and political division contribute to and impede the resolution of agriculture and natural resources issues. Students will learn the aspects of human nature that promote division</w:t>
      </w:r>
      <w:r>
        <w:rPr>
          <w:rFonts w:ascii="Times New Roman" w:eastAsia="Times New Roman" w:hAnsi="Times New Roman" w:cs="Times New Roman"/>
        </w:rPr>
        <w:t xml:space="preserve"> and conflict</w:t>
      </w:r>
      <w:r w:rsidRPr="00FC2C0A">
        <w:rPr>
          <w:rFonts w:ascii="Times New Roman" w:eastAsia="Times New Roman" w:hAnsi="Times New Roman" w:cs="Times New Roman"/>
        </w:rPr>
        <w:t xml:space="preserve"> and how to use those natural inclinations to promote communication and collaboration</w:t>
      </w:r>
      <w:r>
        <w:rPr>
          <w:rFonts w:ascii="Times New Roman" w:eastAsia="Times New Roman" w:hAnsi="Times New Roman" w:cs="Times New Roman"/>
        </w:rPr>
        <w:t xml:space="preserve"> toward agricultural and environmental objectives</w:t>
      </w:r>
      <w:r w:rsidRPr="00FC2C0A">
        <w:rPr>
          <w:rFonts w:ascii="Times New Roman" w:eastAsia="Times New Roman" w:hAnsi="Times New Roman" w:cs="Times New Roman"/>
        </w:rPr>
        <w:t xml:space="preserve">. In addition, students will gain cultural domain analysis research skills for evaluating stakeholders’ mental models of </w:t>
      </w:r>
      <w:r>
        <w:rPr>
          <w:rFonts w:ascii="Times New Roman" w:eastAsia="Times New Roman" w:hAnsi="Times New Roman" w:cs="Times New Roman"/>
        </w:rPr>
        <w:t>partisan</w:t>
      </w:r>
      <w:r w:rsidRPr="00FC2C0A">
        <w:rPr>
          <w:rFonts w:ascii="Times New Roman" w:eastAsia="Times New Roman" w:hAnsi="Times New Roman" w:cs="Times New Roman"/>
        </w:rPr>
        <w:t xml:space="preserve"> issues. </w:t>
      </w:r>
    </w:p>
    <w:p w14:paraId="7512DAF3" w14:textId="77777777" w:rsidR="00FC2C0A" w:rsidRDefault="00FC2C0A" w:rsidP="00C27AFA">
      <w:pPr>
        <w:spacing w:after="0" w:line="240" w:lineRule="auto"/>
        <w:rPr>
          <w:rFonts w:ascii="Times New Roman" w:eastAsia="Times New Roman" w:hAnsi="Times New Roman" w:cs="Times New Roman"/>
        </w:rPr>
      </w:pPr>
    </w:p>
    <w:p w14:paraId="57FC1EF9" w14:textId="1BCFD761" w:rsidR="00EE2939" w:rsidRPr="0085772F" w:rsidRDefault="00EE2939" w:rsidP="00C27AFA">
      <w:pPr>
        <w:spacing w:after="0" w:line="240" w:lineRule="auto"/>
        <w:rPr>
          <w:rFonts w:ascii="Times New Roman" w:eastAsia="Times New Roman" w:hAnsi="Times New Roman" w:cs="Times New Roman"/>
          <w:b/>
          <w:bCs/>
        </w:rPr>
      </w:pPr>
      <w:r w:rsidRPr="0085772F">
        <w:rPr>
          <w:rFonts w:ascii="Times New Roman" w:eastAsia="Times New Roman" w:hAnsi="Times New Roman" w:cs="Times New Roman"/>
          <w:b/>
          <w:bCs/>
        </w:rPr>
        <w:t>Course Pre-Requisites / Co-Requisites</w:t>
      </w:r>
    </w:p>
    <w:p w14:paraId="23959E0E" w14:textId="4FBC5EFE" w:rsidR="00EE2939" w:rsidRDefault="00EE2939" w:rsidP="00C27AFA">
      <w:pPr>
        <w:spacing w:after="0" w:line="240" w:lineRule="auto"/>
        <w:rPr>
          <w:rFonts w:ascii="Times New Roman" w:eastAsia="Times New Roman" w:hAnsi="Times New Roman" w:cs="Times New Roman"/>
        </w:rPr>
      </w:pPr>
      <w:r w:rsidRPr="0085772F">
        <w:rPr>
          <w:rFonts w:ascii="Times New Roman" w:eastAsia="Times New Roman" w:hAnsi="Times New Roman" w:cs="Times New Roman"/>
        </w:rPr>
        <w:t>None</w:t>
      </w:r>
    </w:p>
    <w:p w14:paraId="5B2B84F6" w14:textId="77777777" w:rsidR="00137F73" w:rsidRPr="0085772F" w:rsidRDefault="00137F73" w:rsidP="00C27AFA">
      <w:pPr>
        <w:spacing w:after="0" w:line="240" w:lineRule="auto"/>
        <w:rPr>
          <w:rFonts w:ascii="Times New Roman" w:eastAsia="Times New Roman" w:hAnsi="Times New Roman" w:cs="Times New Roman"/>
        </w:rPr>
      </w:pPr>
    </w:p>
    <w:p w14:paraId="528FD1F3" w14:textId="430803BA" w:rsidR="00C27AFA" w:rsidRPr="0085772F" w:rsidRDefault="00B43087" w:rsidP="00C27AFA">
      <w:pPr>
        <w:spacing w:after="0" w:line="240" w:lineRule="auto"/>
        <w:rPr>
          <w:rFonts w:ascii="Times New Roman" w:eastAsia="Times New Roman" w:hAnsi="Times New Roman" w:cs="Times New Roman"/>
        </w:rPr>
      </w:pPr>
      <w:r>
        <w:rPr>
          <w:rFonts w:ascii="Times New Roman" w:eastAsia="Times New Roman" w:hAnsi="Times New Roman" w:cs="Times New Roman"/>
          <w:b/>
          <w:bCs/>
        </w:rPr>
        <w:t>Student Learning</w:t>
      </w:r>
      <w:r w:rsidR="00C27AFA" w:rsidRPr="0085772F">
        <w:rPr>
          <w:rFonts w:ascii="Times New Roman" w:eastAsia="Times New Roman" w:hAnsi="Times New Roman" w:cs="Times New Roman"/>
          <w:b/>
          <w:bCs/>
        </w:rPr>
        <w:t xml:space="preserve"> Objectives</w:t>
      </w:r>
    </w:p>
    <w:p w14:paraId="4F173C49" w14:textId="77777777" w:rsidR="00697995" w:rsidRPr="00137F73" w:rsidRDefault="00697995" w:rsidP="00697995">
      <w:pPr>
        <w:spacing w:after="0" w:line="240" w:lineRule="auto"/>
        <w:rPr>
          <w:rFonts w:ascii="Times New Roman" w:eastAsia="Times New Roman" w:hAnsi="Times New Roman" w:cs="Times New Roman"/>
        </w:rPr>
      </w:pPr>
      <w:r w:rsidRPr="000A6D03">
        <w:rPr>
          <w:rFonts w:ascii="Times New Roman" w:eastAsia="Times New Roman" w:hAnsi="Times New Roman" w:cs="Times New Roman"/>
        </w:rPr>
        <w:t xml:space="preserve">Upon completion of this course, </w:t>
      </w:r>
      <w:r w:rsidRPr="00137F73">
        <w:rPr>
          <w:rFonts w:ascii="Times New Roman" w:eastAsia="Times New Roman" w:hAnsi="Times New Roman" w:cs="Times New Roman"/>
        </w:rPr>
        <w:t>students should be able to:</w:t>
      </w:r>
    </w:p>
    <w:p w14:paraId="49709CF4" w14:textId="77777777" w:rsidR="00697995" w:rsidRDefault="00697995" w:rsidP="00697995">
      <w:pPr>
        <w:numPr>
          <w:ilvl w:val="0"/>
          <w:numId w:val="2"/>
        </w:numPr>
        <w:spacing w:after="0" w:line="240" w:lineRule="auto"/>
        <w:ind w:left="540"/>
        <w:textAlignment w:val="center"/>
        <w:rPr>
          <w:rFonts w:ascii="Times New Roman" w:eastAsia="Times New Roman" w:hAnsi="Times New Roman" w:cs="Times New Roman"/>
        </w:rPr>
      </w:pPr>
      <w:r w:rsidRPr="00137F73">
        <w:rPr>
          <w:rFonts w:ascii="Times New Roman" w:eastAsia="Times New Roman" w:hAnsi="Times New Roman" w:cs="Times New Roman"/>
        </w:rPr>
        <w:t xml:space="preserve">Identify concepts and theories that influence perceptions of </w:t>
      </w:r>
      <w:r>
        <w:rPr>
          <w:rFonts w:ascii="Times New Roman" w:eastAsia="Times New Roman" w:hAnsi="Times New Roman" w:cs="Times New Roman"/>
        </w:rPr>
        <w:t xml:space="preserve">agriculture and </w:t>
      </w:r>
      <w:r w:rsidRPr="00137F73">
        <w:rPr>
          <w:rFonts w:ascii="Times New Roman" w:eastAsia="Times New Roman" w:hAnsi="Times New Roman" w:cs="Times New Roman"/>
        </w:rPr>
        <w:t>natural resources issues</w:t>
      </w:r>
    </w:p>
    <w:p w14:paraId="00420DB8" w14:textId="77777777" w:rsidR="00697995" w:rsidRPr="00502D49" w:rsidRDefault="00697995" w:rsidP="00697995">
      <w:pPr>
        <w:numPr>
          <w:ilvl w:val="0"/>
          <w:numId w:val="2"/>
        </w:numPr>
        <w:spacing w:after="0" w:line="240" w:lineRule="auto"/>
        <w:ind w:left="540"/>
        <w:textAlignment w:val="center"/>
        <w:rPr>
          <w:rFonts w:ascii="Times New Roman" w:eastAsia="Times New Roman" w:hAnsi="Times New Roman" w:cs="Times New Roman"/>
        </w:rPr>
      </w:pPr>
      <w:r w:rsidRPr="00137F73">
        <w:rPr>
          <w:rFonts w:ascii="Times New Roman" w:eastAsia="Times New Roman" w:hAnsi="Times New Roman" w:cs="Times New Roman"/>
        </w:rPr>
        <w:t xml:space="preserve">Explain how differences in value priorities across the liberal-conservative spectrum shape attitudes toward natural resources </w:t>
      </w:r>
    </w:p>
    <w:p w14:paraId="0114ED7E" w14:textId="77777777" w:rsidR="00697995" w:rsidRDefault="00697995" w:rsidP="00697995">
      <w:pPr>
        <w:numPr>
          <w:ilvl w:val="0"/>
          <w:numId w:val="2"/>
        </w:numPr>
        <w:spacing w:after="0" w:line="240" w:lineRule="auto"/>
        <w:ind w:left="540"/>
        <w:textAlignment w:val="center"/>
        <w:rPr>
          <w:rFonts w:ascii="Times New Roman" w:eastAsia="Times New Roman" w:hAnsi="Times New Roman" w:cs="Times New Roman"/>
        </w:rPr>
      </w:pPr>
      <w:r>
        <w:rPr>
          <w:rFonts w:ascii="Times New Roman" w:eastAsia="Times New Roman" w:hAnsi="Times New Roman" w:cs="Times New Roman"/>
        </w:rPr>
        <w:t>Analyze agriculture and natural resources issues to identify unique situational components, actors, and processes that contribute to partisanship</w:t>
      </w:r>
    </w:p>
    <w:p w14:paraId="1AE79D3F" w14:textId="77777777" w:rsidR="00697995" w:rsidRPr="00137F73" w:rsidRDefault="00697995" w:rsidP="00697995">
      <w:pPr>
        <w:numPr>
          <w:ilvl w:val="0"/>
          <w:numId w:val="2"/>
        </w:numPr>
        <w:spacing w:after="0" w:line="240" w:lineRule="auto"/>
        <w:ind w:left="540"/>
        <w:textAlignment w:val="center"/>
        <w:rPr>
          <w:rFonts w:ascii="Times New Roman" w:eastAsia="Times New Roman" w:hAnsi="Times New Roman" w:cs="Times New Roman"/>
        </w:rPr>
      </w:pPr>
      <w:r>
        <w:rPr>
          <w:rFonts w:ascii="Times New Roman" w:eastAsia="Times New Roman" w:hAnsi="Times New Roman" w:cs="Times New Roman"/>
        </w:rPr>
        <w:t>Formulate</w:t>
      </w:r>
      <w:r w:rsidRPr="00137F73">
        <w:rPr>
          <w:rFonts w:ascii="Times New Roman" w:eastAsia="Times New Roman" w:hAnsi="Times New Roman" w:cs="Times New Roman"/>
        </w:rPr>
        <w:t xml:space="preserve"> strategies </w:t>
      </w:r>
      <w:r>
        <w:rPr>
          <w:rFonts w:ascii="Times New Roman" w:eastAsia="Times New Roman" w:hAnsi="Times New Roman" w:cs="Times New Roman"/>
        </w:rPr>
        <w:t>for</w:t>
      </w:r>
      <w:r w:rsidRPr="00137F73">
        <w:rPr>
          <w:rFonts w:ascii="Times New Roman" w:eastAsia="Times New Roman" w:hAnsi="Times New Roman" w:cs="Times New Roman"/>
        </w:rPr>
        <w:t xml:space="preserve"> address</w:t>
      </w:r>
      <w:r>
        <w:rPr>
          <w:rFonts w:ascii="Times New Roman" w:eastAsia="Times New Roman" w:hAnsi="Times New Roman" w:cs="Times New Roman"/>
        </w:rPr>
        <w:t>ing</w:t>
      </w:r>
      <w:r w:rsidRPr="00137F73">
        <w:rPr>
          <w:rFonts w:ascii="Times New Roman" w:eastAsia="Times New Roman" w:hAnsi="Times New Roman" w:cs="Times New Roman"/>
        </w:rPr>
        <w:t xml:space="preserve"> partisanship </w:t>
      </w:r>
      <w:r>
        <w:rPr>
          <w:rFonts w:ascii="Times New Roman" w:eastAsia="Times New Roman" w:hAnsi="Times New Roman" w:cs="Times New Roman"/>
        </w:rPr>
        <w:t>on novel issues</w:t>
      </w:r>
    </w:p>
    <w:p w14:paraId="42882AA7" w14:textId="77777777" w:rsidR="00697995" w:rsidRPr="00137F73" w:rsidRDefault="00697995" w:rsidP="00697995">
      <w:pPr>
        <w:numPr>
          <w:ilvl w:val="0"/>
          <w:numId w:val="2"/>
        </w:numPr>
        <w:spacing w:after="0" w:line="240" w:lineRule="auto"/>
        <w:ind w:left="540"/>
        <w:textAlignment w:val="center"/>
        <w:rPr>
          <w:rFonts w:ascii="Times New Roman" w:eastAsia="Times New Roman" w:hAnsi="Times New Roman" w:cs="Times New Roman"/>
        </w:rPr>
      </w:pPr>
      <w:r w:rsidRPr="00137F73">
        <w:rPr>
          <w:rFonts w:ascii="Times New Roman" w:eastAsia="Times New Roman" w:hAnsi="Times New Roman" w:cs="Times New Roman"/>
        </w:rPr>
        <w:t xml:space="preserve">Critically evaluate </w:t>
      </w:r>
      <w:r>
        <w:rPr>
          <w:rFonts w:ascii="Times New Roman" w:eastAsia="Times New Roman" w:hAnsi="Times New Roman" w:cs="Times New Roman"/>
        </w:rPr>
        <w:t>personal</w:t>
      </w:r>
      <w:r w:rsidRPr="00137F73">
        <w:rPr>
          <w:rFonts w:ascii="Times New Roman" w:eastAsia="Times New Roman" w:hAnsi="Times New Roman" w:cs="Times New Roman"/>
        </w:rPr>
        <w:t xml:space="preserve"> biases and </w:t>
      </w:r>
      <w:r>
        <w:rPr>
          <w:rFonts w:ascii="Times New Roman" w:eastAsia="Times New Roman" w:hAnsi="Times New Roman" w:cs="Times New Roman"/>
        </w:rPr>
        <w:t>assess how those biases</w:t>
      </w:r>
      <w:r w:rsidRPr="00137F73">
        <w:rPr>
          <w:rFonts w:ascii="Times New Roman" w:eastAsia="Times New Roman" w:hAnsi="Times New Roman" w:cs="Times New Roman"/>
        </w:rPr>
        <w:t xml:space="preserve"> affect their understanding of natural resources issues</w:t>
      </w:r>
    </w:p>
    <w:p w14:paraId="7CD920A1" w14:textId="77777777" w:rsidR="00697995" w:rsidRPr="002F0594" w:rsidRDefault="00697995" w:rsidP="00697995">
      <w:pPr>
        <w:numPr>
          <w:ilvl w:val="0"/>
          <w:numId w:val="2"/>
        </w:numPr>
        <w:spacing w:after="0" w:line="240" w:lineRule="auto"/>
        <w:ind w:left="540"/>
        <w:textAlignment w:val="center"/>
        <w:rPr>
          <w:rFonts w:ascii="Times New Roman" w:eastAsia="Times New Roman" w:hAnsi="Times New Roman" w:cs="Times New Roman"/>
        </w:rPr>
      </w:pPr>
      <w:r>
        <w:rPr>
          <w:rFonts w:ascii="Times New Roman" w:eastAsia="Times New Roman" w:hAnsi="Times New Roman" w:cs="Times New Roman"/>
        </w:rPr>
        <w:t>Design</w:t>
      </w:r>
      <w:r w:rsidRPr="00137F73">
        <w:rPr>
          <w:rFonts w:ascii="Times New Roman" w:eastAsia="Times New Roman" w:hAnsi="Times New Roman" w:cs="Times New Roman"/>
        </w:rPr>
        <w:t xml:space="preserve"> </w:t>
      </w:r>
      <w:r w:rsidRPr="002F0594">
        <w:rPr>
          <w:rFonts w:ascii="Times New Roman" w:eastAsia="Times New Roman" w:hAnsi="Times New Roman" w:cs="Times New Roman"/>
        </w:rPr>
        <w:t>cultural domain analys</w:t>
      </w:r>
      <w:r>
        <w:rPr>
          <w:rFonts w:ascii="Times New Roman" w:eastAsia="Times New Roman" w:hAnsi="Times New Roman" w:cs="Times New Roman"/>
        </w:rPr>
        <w:t>e</w:t>
      </w:r>
      <w:r w:rsidRPr="002F0594">
        <w:rPr>
          <w:rFonts w:ascii="Times New Roman" w:eastAsia="Times New Roman" w:hAnsi="Times New Roman" w:cs="Times New Roman"/>
        </w:rPr>
        <w:t xml:space="preserve">s to qualitatively evaluate stakeholders’ mental models </w:t>
      </w:r>
    </w:p>
    <w:p w14:paraId="1B533DA0" w14:textId="77777777" w:rsidR="00137F73" w:rsidRPr="002F0594" w:rsidRDefault="00137F73" w:rsidP="006043E6">
      <w:pPr>
        <w:spacing w:after="0" w:line="240" w:lineRule="auto"/>
        <w:rPr>
          <w:rFonts w:ascii="Times New Roman" w:eastAsia="Times New Roman" w:hAnsi="Times New Roman" w:cs="Times New Roman"/>
        </w:rPr>
      </w:pPr>
    </w:p>
    <w:p w14:paraId="7C25FFEC" w14:textId="53F8C2EB" w:rsidR="00EE2939" w:rsidRPr="002F0594" w:rsidRDefault="00EE2939" w:rsidP="006043E6">
      <w:pPr>
        <w:spacing w:after="0" w:line="240" w:lineRule="auto"/>
        <w:rPr>
          <w:rFonts w:ascii="Times New Roman" w:eastAsia="Times New Roman" w:hAnsi="Times New Roman" w:cs="Times New Roman"/>
          <w:b/>
          <w:bCs/>
        </w:rPr>
      </w:pPr>
      <w:r w:rsidRPr="002F0594">
        <w:rPr>
          <w:rFonts w:ascii="Times New Roman" w:eastAsia="Times New Roman" w:hAnsi="Times New Roman" w:cs="Times New Roman"/>
          <w:b/>
          <w:bCs/>
        </w:rPr>
        <w:t>Required Textbooks</w:t>
      </w:r>
    </w:p>
    <w:p w14:paraId="5BA6DAE8" w14:textId="1EB7BBCF" w:rsidR="00D114F0" w:rsidRPr="00137A47" w:rsidRDefault="003A00DB" w:rsidP="006043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None. </w:t>
      </w:r>
      <w:r w:rsidR="00D114F0">
        <w:rPr>
          <w:rFonts w:ascii="Times New Roman" w:eastAsia="Times New Roman" w:hAnsi="Times New Roman" w:cs="Times New Roman"/>
        </w:rPr>
        <w:t>All c</w:t>
      </w:r>
      <w:r w:rsidR="00137A47">
        <w:rPr>
          <w:rFonts w:ascii="Times New Roman" w:eastAsia="Times New Roman" w:hAnsi="Times New Roman" w:cs="Times New Roman"/>
        </w:rPr>
        <w:t>ourse</w:t>
      </w:r>
      <w:r w:rsidR="00776FD1">
        <w:rPr>
          <w:rFonts w:ascii="Times New Roman" w:eastAsia="Times New Roman" w:hAnsi="Times New Roman" w:cs="Times New Roman"/>
        </w:rPr>
        <w:t xml:space="preserve"> r</w:t>
      </w:r>
      <w:r w:rsidR="002F0594" w:rsidRPr="002F0594">
        <w:rPr>
          <w:rFonts w:ascii="Times New Roman" w:eastAsia="Times New Roman" w:hAnsi="Times New Roman" w:cs="Times New Roman"/>
        </w:rPr>
        <w:t xml:space="preserve">eadings available through </w:t>
      </w:r>
      <w:proofErr w:type="spellStart"/>
      <w:r w:rsidR="00C80F43">
        <w:rPr>
          <w:rFonts w:ascii="Times New Roman" w:eastAsia="Times New Roman" w:hAnsi="Times New Roman" w:cs="Times New Roman"/>
        </w:rPr>
        <w:t>Perusall</w:t>
      </w:r>
      <w:proofErr w:type="spellEnd"/>
      <w:r w:rsidR="002F0594" w:rsidRPr="002F0594">
        <w:rPr>
          <w:rFonts w:ascii="Times New Roman" w:eastAsia="Times New Roman" w:hAnsi="Times New Roman" w:cs="Times New Roman"/>
        </w:rPr>
        <w:t>.</w:t>
      </w:r>
    </w:p>
    <w:p w14:paraId="701FE0D3" w14:textId="77777777" w:rsidR="00776FD1" w:rsidRPr="002F0594" w:rsidRDefault="00776FD1" w:rsidP="006043E6">
      <w:pPr>
        <w:spacing w:after="0" w:line="240" w:lineRule="auto"/>
        <w:rPr>
          <w:rFonts w:ascii="Times New Roman" w:hAnsi="Times New Roman" w:cs="Times New Roman"/>
          <w:b/>
          <w:bCs/>
        </w:rPr>
      </w:pPr>
    </w:p>
    <w:p w14:paraId="701854DF" w14:textId="0EEF1B54" w:rsidR="00C27AFA" w:rsidRPr="002F0594" w:rsidRDefault="006043E6" w:rsidP="006043E6">
      <w:pPr>
        <w:spacing w:after="0" w:line="240" w:lineRule="auto"/>
        <w:rPr>
          <w:rFonts w:ascii="Times New Roman" w:eastAsia="Times New Roman" w:hAnsi="Times New Roman" w:cs="Times New Roman"/>
        </w:rPr>
      </w:pPr>
      <w:r w:rsidRPr="002F0594">
        <w:rPr>
          <w:rFonts w:ascii="Times New Roman" w:hAnsi="Times New Roman" w:cs="Times New Roman"/>
          <w:b/>
          <w:bCs/>
        </w:rPr>
        <w:t>Assignments</w:t>
      </w:r>
    </w:p>
    <w:p w14:paraId="38A6CB0B" w14:textId="77777777" w:rsidR="00C87E3C" w:rsidRDefault="00C87E3C" w:rsidP="006043E6">
      <w:pPr>
        <w:spacing w:after="0" w:line="240" w:lineRule="auto"/>
        <w:rPr>
          <w:rFonts w:ascii="Times New Roman" w:eastAsia="Times New Roman" w:hAnsi="Times New Roman" w:cs="Times New Roman"/>
        </w:rPr>
      </w:pPr>
    </w:p>
    <w:p w14:paraId="4876DFC6" w14:textId="087DDA0B" w:rsidR="000A499A" w:rsidRPr="008B6317" w:rsidRDefault="000A499A" w:rsidP="006043E6">
      <w:pPr>
        <w:spacing w:after="0" w:line="240" w:lineRule="auto"/>
        <w:rPr>
          <w:rFonts w:ascii="Times New Roman" w:eastAsia="Times New Roman" w:hAnsi="Times New Roman" w:cs="Times New Roman"/>
          <w:i/>
          <w:iCs/>
        </w:rPr>
      </w:pPr>
      <w:r w:rsidRPr="008B6317">
        <w:rPr>
          <w:rFonts w:ascii="Times New Roman" w:eastAsia="Times New Roman" w:hAnsi="Times New Roman" w:cs="Times New Roman"/>
          <w:i/>
          <w:iCs/>
        </w:rPr>
        <w:t>Case Study</w:t>
      </w:r>
      <w:r w:rsidR="00CB0BBA" w:rsidRPr="008B6317">
        <w:rPr>
          <w:rFonts w:ascii="Times New Roman" w:eastAsia="Times New Roman" w:hAnsi="Times New Roman" w:cs="Times New Roman"/>
          <w:i/>
          <w:iCs/>
        </w:rPr>
        <w:t xml:space="preserve"> Project</w:t>
      </w:r>
    </w:p>
    <w:p w14:paraId="6F2D3ECF" w14:textId="1F3CC5DF" w:rsidR="002070A3" w:rsidRDefault="00C23081" w:rsidP="006043E6">
      <w:pPr>
        <w:spacing w:after="0" w:line="240" w:lineRule="auto"/>
        <w:rPr>
          <w:rFonts w:ascii="Times New Roman" w:eastAsia="Times New Roman" w:hAnsi="Times New Roman" w:cs="Times New Roman"/>
        </w:rPr>
      </w:pPr>
      <w:r w:rsidRPr="00C23081">
        <w:rPr>
          <w:rFonts w:ascii="Times New Roman" w:eastAsia="Times New Roman" w:hAnsi="Times New Roman" w:cs="Times New Roman"/>
        </w:rPr>
        <w:t xml:space="preserve">The assignments in this course ask you to focus on a specific case study of your choice. </w:t>
      </w:r>
      <w:r w:rsidR="00251CB8" w:rsidRPr="00C23081">
        <w:rPr>
          <w:rFonts w:ascii="Times New Roman" w:eastAsia="Times New Roman" w:hAnsi="Times New Roman" w:cs="Times New Roman"/>
        </w:rPr>
        <w:t>Typically,</w:t>
      </w:r>
      <w:r w:rsidRPr="00C23081">
        <w:rPr>
          <w:rFonts w:ascii="Times New Roman" w:eastAsia="Times New Roman" w:hAnsi="Times New Roman" w:cs="Times New Roman"/>
        </w:rPr>
        <w:t xml:space="preserve"> students choose a topic related to the work they are doing or wish to do. With each assignment you will delve deeper into partisanship challenges related to your case study until, at the end of the semester, you have a robust partisanship analysis that can be applied to your topic. The content you develop can provide a solid start to a publication in an academic journal or your thesis/dissertation.</w:t>
      </w:r>
    </w:p>
    <w:p w14:paraId="725D4D97" w14:textId="77777777" w:rsidR="00C23081" w:rsidRDefault="00C23081" w:rsidP="006043E6">
      <w:pPr>
        <w:spacing w:after="0" w:line="240" w:lineRule="auto"/>
        <w:rPr>
          <w:rFonts w:ascii="Times New Roman" w:eastAsia="Times New Roman" w:hAnsi="Times New Roman" w:cs="Times New Roman"/>
        </w:rPr>
      </w:pPr>
    </w:p>
    <w:p w14:paraId="63BF02C5" w14:textId="574F2B0F" w:rsidR="00D114F0" w:rsidRDefault="0032496F" w:rsidP="006043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case study project </w:t>
      </w:r>
      <w:r w:rsidR="002070A3">
        <w:rPr>
          <w:rFonts w:ascii="Times New Roman" w:eastAsia="Times New Roman" w:hAnsi="Times New Roman" w:cs="Times New Roman"/>
        </w:rPr>
        <w:t>will be</w:t>
      </w:r>
      <w:r>
        <w:rPr>
          <w:rFonts w:ascii="Times New Roman" w:eastAsia="Times New Roman" w:hAnsi="Times New Roman" w:cs="Times New Roman"/>
        </w:rPr>
        <w:t xml:space="preserve"> completed in several steps (detailed below). Instructions for each assignment </w:t>
      </w:r>
      <w:r w:rsidR="002070A3">
        <w:rPr>
          <w:rFonts w:ascii="Times New Roman" w:eastAsia="Times New Roman" w:hAnsi="Times New Roman" w:cs="Times New Roman"/>
        </w:rPr>
        <w:t>will be</w:t>
      </w:r>
      <w:r>
        <w:rPr>
          <w:rFonts w:ascii="Times New Roman" w:eastAsia="Times New Roman" w:hAnsi="Times New Roman" w:cs="Times New Roman"/>
        </w:rPr>
        <w:t xml:space="preserve"> available in Canvas.</w:t>
      </w:r>
    </w:p>
    <w:p w14:paraId="1C2060CC" w14:textId="77777777" w:rsidR="00CB0BBA" w:rsidRDefault="00CB0BBA" w:rsidP="00F344B3">
      <w:pPr>
        <w:spacing w:after="0" w:line="240" w:lineRule="auto"/>
        <w:ind w:left="720"/>
        <w:rPr>
          <w:rFonts w:ascii="Times New Roman" w:eastAsia="Times New Roman" w:hAnsi="Times New Roman" w:cs="Times New Roman"/>
        </w:rPr>
      </w:pPr>
    </w:p>
    <w:p w14:paraId="30B3CC46" w14:textId="491151E1" w:rsidR="000A499A" w:rsidRDefault="000A499A" w:rsidP="00F344B3">
      <w:pPr>
        <w:spacing w:after="0" w:line="240" w:lineRule="auto"/>
        <w:ind w:left="720"/>
        <w:rPr>
          <w:rFonts w:ascii="Times New Roman" w:eastAsia="Times New Roman" w:hAnsi="Times New Roman" w:cs="Times New Roman"/>
        </w:rPr>
      </w:pPr>
      <w:r w:rsidRPr="00B5243C">
        <w:rPr>
          <w:rFonts w:ascii="Times New Roman" w:eastAsia="Times New Roman" w:hAnsi="Times New Roman" w:cs="Times New Roman"/>
          <w:i/>
          <w:iCs/>
        </w:rPr>
        <w:t>Proposal</w:t>
      </w:r>
      <w:r w:rsidR="00F344B3" w:rsidRPr="00B5243C">
        <w:rPr>
          <w:rFonts w:ascii="Times New Roman" w:eastAsia="Times New Roman" w:hAnsi="Times New Roman" w:cs="Times New Roman"/>
          <w:i/>
          <w:iCs/>
        </w:rPr>
        <w:t xml:space="preserve"> </w:t>
      </w:r>
      <w:r w:rsidR="00DD144C">
        <w:rPr>
          <w:rFonts w:ascii="Times New Roman" w:eastAsia="Times New Roman" w:hAnsi="Times New Roman" w:cs="Times New Roman"/>
          <w:i/>
          <w:iCs/>
        </w:rPr>
        <w:t>pitch</w:t>
      </w:r>
      <w:r w:rsidR="00F344B3">
        <w:rPr>
          <w:rFonts w:ascii="Times New Roman" w:eastAsia="Times New Roman" w:hAnsi="Times New Roman" w:cs="Times New Roman"/>
        </w:rPr>
        <w:t xml:space="preserve">. Students will </w:t>
      </w:r>
      <w:r w:rsidR="0032496F">
        <w:rPr>
          <w:rFonts w:ascii="Times New Roman" w:eastAsia="Times New Roman" w:hAnsi="Times New Roman" w:cs="Times New Roman"/>
        </w:rPr>
        <w:t xml:space="preserve">present </w:t>
      </w:r>
      <w:r w:rsidR="00F344B3">
        <w:rPr>
          <w:rFonts w:ascii="Times New Roman" w:eastAsia="Times New Roman" w:hAnsi="Times New Roman" w:cs="Times New Roman"/>
        </w:rPr>
        <w:t>the case</w:t>
      </w:r>
      <w:r w:rsidR="003A00DB">
        <w:rPr>
          <w:rFonts w:ascii="Times New Roman" w:eastAsia="Times New Roman" w:hAnsi="Times New Roman" w:cs="Times New Roman"/>
        </w:rPr>
        <w:t xml:space="preserve"> stud</w:t>
      </w:r>
      <w:r w:rsidR="00252E41">
        <w:rPr>
          <w:rFonts w:ascii="Times New Roman" w:eastAsia="Times New Roman" w:hAnsi="Times New Roman" w:cs="Times New Roman"/>
        </w:rPr>
        <w:t>ies</w:t>
      </w:r>
      <w:r w:rsidR="00F344B3">
        <w:rPr>
          <w:rFonts w:ascii="Times New Roman" w:eastAsia="Times New Roman" w:hAnsi="Times New Roman" w:cs="Times New Roman"/>
        </w:rPr>
        <w:t xml:space="preserve"> they </w:t>
      </w:r>
      <w:r w:rsidR="003A00DB">
        <w:rPr>
          <w:rFonts w:ascii="Times New Roman" w:eastAsia="Times New Roman" w:hAnsi="Times New Roman" w:cs="Times New Roman"/>
        </w:rPr>
        <w:t>plan to analyze</w:t>
      </w:r>
      <w:r w:rsidR="00252E41">
        <w:rPr>
          <w:rFonts w:ascii="Times New Roman" w:eastAsia="Times New Roman" w:hAnsi="Times New Roman" w:cs="Times New Roman"/>
        </w:rPr>
        <w:t xml:space="preserve"> throughout the course</w:t>
      </w:r>
      <w:r w:rsidR="00F344B3">
        <w:rPr>
          <w:rFonts w:ascii="Times New Roman" w:eastAsia="Times New Roman" w:hAnsi="Times New Roman" w:cs="Times New Roman"/>
        </w:rPr>
        <w:t>. The class will provide input to help refine the topic.</w:t>
      </w:r>
    </w:p>
    <w:p w14:paraId="45190F1F" w14:textId="77777777" w:rsidR="008A2C82" w:rsidRDefault="008A2C82" w:rsidP="00F344B3">
      <w:pPr>
        <w:spacing w:after="0" w:line="240" w:lineRule="auto"/>
        <w:ind w:left="720"/>
        <w:rPr>
          <w:rFonts w:ascii="Times New Roman" w:eastAsia="Times New Roman" w:hAnsi="Times New Roman" w:cs="Times New Roman"/>
        </w:rPr>
      </w:pPr>
    </w:p>
    <w:p w14:paraId="7E18617B" w14:textId="77777777" w:rsidR="00DD144C" w:rsidRDefault="00DD144C" w:rsidP="00F344B3">
      <w:pPr>
        <w:spacing w:after="0" w:line="240" w:lineRule="auto"/>
        <w:ind w:left="720"/>
        <w:rPr>
          <w:rFonts w:ascii="Times New Roman" w:eastAsia="Times New Roman" w:hAnsi="Times New Roman" w:cs="Times New Roman"/>
        </w:rPr>
      </w:pPr>
    </w:p>
    <w:p w14:paraId="0066ECF0" w14:textId="41348E2A" w:rsidR="00DD144C" w:rsidRDefault="00DD144C" w:rsidP="00F344B3">
      <w:pPr>
        <w:spacing w:after="0" w:line="240" w:lineRule="auto"/>
        <w:ind w:left="720"/>
        <w:rPr>
          <w:rFonts w:ascii="Times New Roman" w:eastAsia="Times New Roman" w:hAnsi="Times New Roman" w:cs="Times New Roman"/>
        </w:rPr>
      </w:pPr>
      <w:r w:rsidRPr="00DD144C">
        <w:rPr>
          <w:rFonts w:ascii="Times New Roman" w:eastAsia="Times New Roman" w:hAnsi="Times New Roman" w:cs="Times New Roman"/>
          <w:i/>
          <w:iCs/>
        </w:rPr>
        <w:t>Introduction</w:t>
      </w:r>
      <w:r w:rsidR="00043516">
        <w:rPr>
          <w:rFonts w:ascii="Times New Roman" w:eastAsia="Times New Roman" w:hAnsi="Times New Roman" w:cs="Times New Roman"/>
          <w:i/>
          <w:iCs/>
        </w:rPr>
        <w:t xml:space="preserve">. </w:t>
      </w:r>
      <w:r w:rsidRPr="00DD144C">
        <w:rPr>
          <w:rFonts w:ascii="Times New Roman" w:eastAsia="Times New Roman" w:hAnsi="Times New Roman" w:cs="Times New Roman"/>
          <w:i/>
          <w:iCs/>
        </w:rPr>
        <w:t>research objectives</w:t>
      </w:r>
      <w:r w:rsidR="00043516">
        <w:rPr>
          <w:rFonts w:ascii="Times New Roman" w:eastAsia="Times New Roman" w:hAnsi="Times New Roman" w:cs="Times New Roman"/>
          <w:i/>
          <w:iCs/>
        </w:rPr>
        <w:t>, and theories and interventions part 1</w:t>
      </w:r>
      <w:r w:rsidRPr="00DD144C">
        <w:rPr>
          <w:rFonts w:ascii="Times New Roman" w:eastAsia="Times New Roman" w:hAnsi="Times New Roman" w:cs="Times New Roman"/>
          <w:i/>
          <w:iCs/>
        </w:rPr>
        <w:t xml:space="preserve"> presentation</w:t>
      </w:r>
      <w:r>
        <w:rPr>
          <w:rFonts w:ascii="Times New Roman" w:eastAsia="Times New Roman" w:hAnsi="Times New Roman" w:cs="Times New Roman"/>
        </w:rPr>
        <w:t xml:space="preserve">. </w:t>
      </w:r>
      <w:r w:rsidR="004903A2">
        <w:rPr>
          <w:rFonts w:ascii="Times New Roman" w:eastAsia="Times New Roman" w:hAnsi="Times New Roman" w:cs="Times New Roman"/>
        </w:rPr>
        <w:t xml:space="preserve">Students </w:t>
      </w:r>
      <w:r w:rsidR="001A4FAA">
        <w:rPr>
          <w:rFonts w:ascii="Times New Roman" w:eastAsia="Times New Roman" w:hAnsi="Times New Roman" w:cs="Times New Roman"/>
        </w:rPr>
        <w:t>provide and introduction for their</w:t>
      </w:r>
      <w:r w:rsidR="001A4FAA" w:rsidRPr="001A4FAA">
        <w:rPr>
          <w:rFonts w:ascii="Times New Roman" w:eastAsia="Times New Roman" w:hAnsi="Times New Roman" w:cs="Times New Roman"/>
        </w:rPr>
        <w:t xml:space="preserve"> case study project</w:t>
      </w:r>
      <w:r w:rsidR="001A4FAA">
        <w:rPr>
          <w:rFonts w:ascii="Times New Roman" w:eastAsia="Times New Roman" w:hAnsi="Times New Roman" w:cs="Times New Roman"/>
        </w:rPr>
        <w:t xml:space="preserve">, </w:t>
      </w:r>
      <w:r w:rsidR="001A4FAA" w:rsidRPr="001A4FAA">
        <w:rPr>
          <w:rFonts w:ascii="Times New Roman" w:eastAsia="Times New Roman" w:hAnsi="Times New Roman" w:cs="Times New Roman"/>
        </w:rPr>
        <w:t>describ</w:t>
      </w:r>
      <w:r w:rsidR="001A4FAA">
        <w:rPr>
          <w:rFonts w:ascii="Times New Roman" w:eastAsia="Times New Roman" w:hAnsi="Times New Roman" w:cs="Times New Roman"/>
        </w:rPr>
        <w:t>ing</w:t>
      </w:r>
      <w:r w:rsidR="001A4FAA" w:rsidRPr="001A4FAA">
        <w:rPr>
          <w:rFonts w:ascii="Times New Roman" w:eastAsia="Times New Roman" w:hAnsi="Times New Roman" w:cs="Times New Roman"/>
        </w:rPr>
        <w:t xml:space="preserve"> the current situation, why it is problematic (or could become problematic), and what </w:t>
      </w:r>
      <w:r w:rsidR="001A4FAA">
        <w:rPr>
          <w:rFonts w:ascii="Times New Roman" w:eastAsia="Times New Roman" w:hAnsi="Times New Roman" w:cs="Times New Roman"/>
        </w:rPr>
        <w:t>they</w:t>
      </w:r>
      <w:r w:rsidR="001A4FAA" w:rsidRPr="001A4FAA">
        <w:rPr>
          <w:rFonts w:ascii="Times New Roman" w:eastAsia="Times New Roman" w:hAnsi="Times New Roman" w:cs="Times New Roman"/>
        </w:rPr>
        <w:t xml:space="preserve"> aim to achieve by examining partisanship on the topic.</w:t>
      </w:r>
      <w:r w:rsidR="00043516">
        <w:rPr>
          <w:rFonts w:ascii="Times New Roman" w:eastAsia="Times New Roman" w:hAnsi="Times New Roman" w:cs="Times New Roman"/>
        </w:rPr>
        <w:t xml:space="preserve"> In addition, students will provide a presentation detailing how the theories and topics examined </w:t>
      </w:r>
      <w:r w:rsidR="003A1940">
        <w:rPr>
          <w:rFonts w:ascii="Times New Roman" w:eastAsia="Times New Roman" w:hAnsi="Times New Roman" w:cs="Times New Roman"/>
        </w:rPr>
        <w:t>thus far in</w:t>
      </w:r>
      <w:r w:rsidR="00043516">
        <w:rPr>
          <w:rFonts w:ascii="Times New Roman" w:eastAsia="Times New Roman" w:hAnsi="Times New Roman" w:cs="Times New Roman"/>
        </w:rPr>
        <w:t xml:space="preserve"> the course apply to the </w:t>
      </w:r>
      <w:proofErr w:type="gramStart"/>
      <w:r w:rsidR="00043516">
        <w:rPr>
          <w:rFonts w:ascii="Times New Roman" w:eastAsia="Times New Roman" w:hAnsi="Times New Roman" w:cs="Times New Roman"/>
        </w:rPr>
        <w:t>topic, and</w:t>
      </w:r>
      <w:proofErr w:type="gramEnd"/>
      <w:r w:rsidR="00043516">
        <w:rPr>
          <w:rFonts w:ascii="Times New Roman" w:eastAsia="Times New Roman" w:hAnsi="Times New Roman" w:cs="Times New Roman"/>
        </w:rPr>
        <w:t xml:space="preserve"> suggest specific interventions to minimize obstructive partisanship.</w:t>
      </w:r>
    </w:p>
    <w:p w14:paraId="41651409" w14:textId="5DBE6413" w:rsidR="00FC0354" w:rsidRDefault="00FC0354" w:rsidP="00F344B3">
      <w:pPr>
        <w:spacing w:after="0" w:line="240" w:lineRule="auto"/>
        <w:ind w:left="720"/>
        <w:rPr>
          <w:rFonts w:ascii="Times New Roman" w:eastAsia="Times New Roman" w:hAnsi="Times New Roman" w:cs="Times New Roman"/>
        </w:rPr>
      </w:pPr>
    </w:p>
    <w:p w14:paraId="100FBA41" w14:textId="77D6E0F8" w:rsidR="000A499A" w:rsidRDefault="000A499A" w:rsidP="00F344B3">
      <w:pPr>
        <w:spacing w:after="0" w:line="240" w:lineRule="auto"/>
        <w:ind w:left="720"/>
        <w:rPr>
          <w:rFonts w:ascii="Times New Roman" w:eastAsia="Times New Roman" w:hAnsi="Times New Roman" w:cs="Times New Roman"/>
        </w:rPr>
      </w:pPr>
      <w:r w:rsidRPr="00B5243C">
        <w:rPr>
          <w:rFonts w:ascii="Times New Roman" w:eastAsia="Times New Roman" w:hAnsi="Times New Roman" w:cs="Times New Roman"/>
          <w:i/>
          <w:iCs/>
        </w:rPr>
        <w:t>Cultural domain analysis</w:t>
      </w:r>
      <w:r w:rsidR="003668D1">
        <w:rPr>
          <w:rFonts w:ascii="Times New Roman" w:eastAsia="Times New Roman" w:hAnsi="Times New Roman" w:cs="Times New Roman"/>
          <w:i/>
          <w:iCs/>
        </w:rPr>
        <w:t xml:space="preserve"> presentation</w:t>
      </w:r>
      <w:r w:rsidR="00F344B3">
        <w:rPr>
          <w:rFonts w:ascii="Times New Roman" w:eastAsia="Times New Roman" w:hAnsi="Times New Roman" w:cs="Times New Roman"/>
        </w:rPr>
        <w:t xml:space="preserve">. Cultural domain analysis </w:t>
      </w:r>
      <w:r w:rsidR="00F168C3">
        <w:rPr>
          <w:rFonts w:ascii="Times New Roman" w:eastAsia="Times New Roman" w:hAnsi="Times New Roman" w:cs="Times New Roman"/>
        </w:rPr>
        <w:t xml:space="preserve">(CDA) </w:t>
      </w:r>
      <w:r w:rsidR="00F344B3">
        <w:rPr>
          <w:rFonts w:ascii="Times New Roman" w:eastAsia="Times New Roman" w:hAnsi="Times New Roman" w:cs="Times New Roman"/>
        </w:rPr>
        <w:t xml:space="preserve">is a set of research methods that reveal how groups of people understand objects, events, and experiences. </w:t>
      </w:r>
      <w:r w:rsidR="008B6317">
        <w:rPr>
          <w:rFonts w:ascii="Times New Roman" w:eastAsia="Times New Roman" w:hAnsi="Times New Roman" w:cs="Times New Roman"/>
        </w:rPr>
        <w:t>S</w:t>
      </w:r>
      <w:r w:rsidR="00F344B3">
        <w:rPr>
          <w:rFonts w:ascii="Times New Roman" w:eastAsia="Times New Roman" w:hAnsi="Times New Roman" w:cs="Times New Roman"/>
        </w:rPr>
        <w:t xml:space="preserve">tudents </w:t>
      </w:r>
      <w:r w:rsidR="00F168C3">
        <w:rPr>
          <w:rFonts w:ascii="Times New Roman" w:eastAsia="Times New Roman" w:hAnsi="Times New Roman" w:cs="Times New Roman"/>
        </w:rPr>
        <w:t xml:space="preserve">will </w:t>
      </w:r>
      <w:r w:rsidR="003A00DB">
        <w:rPr>
          <w:rFonts w:ascii="Times New Roman" w:eastAsia="Times New Roman" w:hAnsi="Times New Roman" w:cs="Times New Roman"/>
        </w:rPr>
        <w:t xml:space="preserve">use a pile sorting </w:t>
      </w:r>
      <w:r w:rsidR="00F168C3">
        <w:rPr>
          <w:rFonts w:ascii="Times New Roman" w:eastAsia="Times New Roman" w:hAnsi="Times New Roman" w:cs="Times New Roman"/>
        </w:rPr>
        <w:t>CDA method</w:t>
      </w:r>
      <w:r w:rsidR="003A00DB">
        <w:rPr>
          <w:rFonts w:ascii="Times New Roman" w:eastAsia="Times New Roman" w:hAnsi="Times New Roman" w:cs="Times New Roman"/>
        </w:rPr>
        <w:t xml:space="preserve"> to</w:t>
      </w:r>
      <w:r w:rsidR="00F168C3">
        <w:rPr>
          <w:rFonts w:ascii="Times New Roman" w:eastAsia="Times New Roman" w:hAnsi="Times New Roman" w:cs="Times New Roman"/>
        </w:rPr>
        <w:t xml:space="preserve"> </w:t>
      </w:r>
      <w:r w:rsidR="008B6317">
        <w:rPr>
          <w:rFonts w:ascii="Times New Roman" w:eastAsia="Times New Roman" w:hAnsi="Times New Roman" w:cs="Times New Roman"/>
        </w:rPr>
        <w:t xml:space="preserve">assess </w:t>
      </w:r>
      <w:r w:rsidR="003A00DB">
        <w:rPr>
          <w:rFonts w:ascii="Times New Roman" w:eastAsia="Times New Roman" w:hAnsi="Times New Roman" w:cs="Times New Roman"/>
        </w:rPr>
        <w:t>stakeholders’ mental models</w:t>
      </w:r>
      <w:r w:rsidR="00252E41">
        <w:rPr>
          <w:rFonts w:ascii="Times New Roman" w:eastAsia="Times New Roman" w:hAnsi="Times New Roman" w:cs="Times New Roman"/>
        </w:rPr>
        <w:t xml:space="preserve"> of a</w:t>
      </w:r>
      <w:r w:rsidR="00065868">
        <w:rPr>
          <w:rFonts w:ascii="Times New Roman" w:eastAsia="Times New Roman" w:hAnsi="Times New Roman" w:cs="Times New Roman"/>
        </w:rPr>
        <w:t>n agricultural or</w:t>
      </w:r>
      <w:r w:rsidR="00252E41">
        <w:rPr>
          <w:rFonts w:ascii="Times New Roman" w:eastAsia="Times New Roman" w:hAnsi="Times New Roman" w:cs="Times New Roman"/>
        </w:rPr>
        <w:t xml:space="preserve"> </w:t>
      </w:r>
      <w:r w:rsidR="008B6317">
        <w:rPr>
          <w:rFonts w:ascii="Times New Roman" w:eastAsia="Times New Roman" w:hAnsi="Times New Roman" w:cs="Times New Roman"/>
        </w:rPr>
        <w:t>natural resources issue.</w:t>
      </w:r>
      <w:r w:rsidR="00252E41">
        <w:rPr>
          <w:rFonts w:ascii="Times New Roman" w:eastAsia="Times New Roman" w:hAnsi="Times New Roman" w:cs="Times New Roman"/>
        </w:rPr>
        <w:t xml:space="preserve"> By understanding how stakeholders think about the topic, students will better understand the types of interventions likely to be successful in their case study. </w:t>
      </w:r>
    </w:p>
    <w:p w14:paraId="3BCF61A2" w14:textId="77777777" w:rsidR="00043516" w:rsidRDefault="00043516" w:rsidP="00F344B3">
      <w:pPr>
        <w:spacing w:after="0" w:line="240" w:lineRule="auto"/>
        <w:ind w:left="720"/>
        <w:rPr>
          <w:rFonts w:ascii="Times New Roman" w:eastAsia="Times New Roman" w:hAnsi="Times New Roman" w:cs="Times New Roman"/>
        </w:rPr>
      </w:pPr>
    </w:p>
    <w:p w14:paraId="6B01F364" w14:textId="544BAF4A" w:rsidR="00043516" w:rsidRPr="00043516" w:rsidRDefault="00043516" w:rsidP="00043516">
      <w:pPr>
        <w:spacing w:after="0" w:line="240" w:lineRule="auto"/>
        <w:ind w:left="720"/>
        <w:rPr>
          <w:rFonts w:ascii="Times New Roman" w:eastAsia="Times New Roman" w:hAnsi="Times New Roman" w:cs="Times New Roman"/>
          <w:i/>
          <w:iCs/>
        </w:rPr>
      </w:pPr>
      <w:r>
        <w:rPr>
          <w:rFonts w:ascii="Times New Roman" w:eastAsia="Times New Roman" w:hAnsi="Times New Roman" w:cs="Times New Roman"/>
          <w:i/>
          <w:iCs/>
        </w:rPr>
        <w:t xml:space="preserve">Theories and interventions part 2 presentation. </w:t>
      </w:r>
      <w:r w:rsidR="003A1940">
        <w:rPr>
          <w:rFonts w:ascii="Times New Roman" w:eastAsia="Times New Roman" w:hAnsi="Times New Roman" w:cs="Times New Roman"/>
          <w:i/>
          <w:iCs/>
        </w:rPr>
        <w:t>S</w:t>
      </w:r>
      <w:r w:rsidR="003A1940">
        <w:rPr>
          <w:rFonts w:ascii="Times New Roman" w:eastAsia="Times New Roman" w:hAnsi="Times New Roman" w:cs="Times New Roman"/>
        </w:rPr>
        <w:t xml:space="preserve">tudents will provide a presentation detailing how the theories and topics examined in the second half of the course apply to the </w:t>
      </w:r>
      <w:proofErr w:type="gramStart"/>
      <w:r w:rsidR="003A1940">
        <w:rPr>
          <w:rFonts w:ascii="Times New Roman" w:eastAsia="Times New Roman" w:hAnsi="Times New Roman" w:cs="Times New Roman"/>
        </w:rPr>
        <w:t>topic, and</w:t>
      </w:r>
      <w:proofErr w:type="gramEnd"/>
      <w:r w:rsidR="003A1940">
        <w:rPr>
          <w:rFonts w:ascii="Times New Roman" w:eastAsia="Times New Roman" w:hAnsi="Times New Roman" w:cs="Times New Roman"/>
        </w:rPr>
        <w:t xml:space="preserve"> suggest specific interventions to minimize obstructive partisanship.</w:t>
      </w:r>
    </w:p>
    <w:p w14:paraId="2A289DD4" w14:textId="733BA0E2" w:rsidR="009B5BC5" w:rsidRDefault="009B5BC5" w:rsidP="006043E6">
      <w:pPr>
        <w:spacing w:after="0" w:line="240" w:lineRule="auto"/>
        <w:rPr>
          <w:rFonts w:ascii="Times New Roman" w:eastAsia="Times New Roman" w:hAnsi="Times New Roman" w:cs="Times New Roman"/>
        </w:rPr>
      </w:pPr>
    </w:p>
    <w:p w14:paraId="4E688F11" w14:textId="5728525C" w:rsidR="009B5BC5" w:rsidRPr="00C87E3C" w:rsidRDefault="001A3B2C" w:rsidP="009B5BC5">
      <w:pPr>
        <w:spacing w:after="0" w:line="240" w:lineRule="auto"/>
        <w:rPr>
          <w:rFonts w:ascii="Times New Roman" w:eastAsia="Times New Roman" w:hAnsi="Times New Roman" w:cs="Times New Roman"/>
          <w:i/>
          <w:iCs/>
        </w:rPr>
      </w:pPr>
      <w:r w:rsidRPr="005E19AE">
        <w:rPr>
          <w:rFonts w:ascii="Times New Roman" w:eastAsia="Times New Roman" w:hAnsi="Times New Roman" w:cs="Times New Roman"/>
          <w:i/>
          <w:iCs/>
        </w:rPr>
        <w:t xml:space="preserve">Ethical </w:t>
      </w:r>
      <w:r w:rsidR="008E44F4" w:rsidRPr="005E19AE">
        <w:rPr>
          <w:rFonts w:ascii="Times New Roman" w:eastAsia="Times New Roman" w:hAnsi="Times New Roman" w:cs="Times New Roman"/>
          <w:i/>
          <w:iCs/>
        </w:rPr>
        <w:t>perspective</w:t>
      </w:r>
    </w:p>
    <w:p w14:paraId="1C4557E5" w14:textId="1D0A33AB" w:rsidR="009B5BC5" w:rsidRDefault="007D6E86" w:rsidP="009B5BC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great power comes great responsibility. In this class, you will </w:t>
      </w:r>
      <w:r w:rsidR="00DE6CDD">
        <w:rPr>
          <w:rFonts w:ascii="Times New Roman" w:eastAsia="Times New Roman" w:hAnsi="Times New Roman" w:cs="Times New Roman"/>
        </w:rPr>
        <w:t xml:space="preserve">learn </w:t>
      </w:r>
      <w:r w:rsidR="0086397D">
        <w:rPr>
          <w:rFonts w:ascii="Times New Roman" w:eastAsia="Times New Roman" w:hAnsi="Times New Roman" w:cs="Times New Roman"/>
        </w:rPr>
        <w:t>the drivers of</w:t>
      </w:r>
      <w:r w:rsidR="00085840">
        <w:rPr>
          <w:rFonts w:ascii="Times New Roman" w:eastAsia="Times New Roman" w:hAnsi="Times New Roman" w:cs="Times New Roman"/>
        </w:rPr>
        <w:t xml:space="preserve"> attitudes</w:t>
      </w:r>
      <w:r w:rsidR="007F1E7D">
        <w:rPr>
          <w:rFonts w:ascii="Times New Roman" w:eastAsia="Times New Roman" w:hAnsi="Times New Roman" w:cs="Times New Roman"/>
        </w:rPr>
        <w:t xml:space="preserve"> and</w:t>
      </w:r>
      <w:r w:rsidR="00085840">
        <w:rPr>
          <w:rFonts w:ascii="Times New Roman" w:eastAsia="Times New Roman" w:hAnsi="Times New Roman" w:cs="Times New Roman"/>
        </w:rPr>
        <w:t xml:space="preserve"> beliefs</w:t>
      </w:r>
      <w:r w:rsidR="007F1E7D">
        <w:rPr>
          <w:rFonts w:ascii="Times New Roman" w:eastAsia="Times New Roman" w:hAnsi="Times New Roman" w:cs="Times New Roman"/>
        </w:rPr>
        <w:t xml:space="preserve"> </w:t>
      </w:r>
      <w:r w:rsidR="0086397D">
        <w:rPr>
          <w:rFonts w:ascii="Times New Roman" w:eastAsia="Times New Roman" w:hAnsi="Times New Roman" w:cs="Times New Roman"/>
        </w:rPr>
        <w:t xml:space="preserve">– you will also learn how to use those drivers </w:t>
      </w:r>
      <w:r w:rsidR="004C2DC9">
        <w:rPr>
          <w:rFonts w:ascii="Times New Roman" w:eastAsia="Times New Roman" w:hAnsi="Times New Roman" w:cs="Times New Roman"/>
        </w:rPr>
        <w:t xml:space="preserve">to </w:t>
      </w:r>
      <w:r w:rsidR="007F1E7D">
        <w:rPr>
          <w:rFonts w:ascii="Times New Roman" w:eastAsia="Times New Roman" w:hAnsi="Times New Roman" w:cs="Times New Roman"/>
        </w:rPr>
        <w:t xml:space="preserve">affect behavior. </w:t>
      </w:r>
      <w:r w:rsidR="009B5BC5">
        <w:rPr>
          <w:rFonts w:ascii="Times New Roman" w:eastAsia="Times New Roman" w:hAnsi="Times New Roman" w:cs="Times New Roman"/>
        </w:rPr>
        <w:t xml:space="preserve">Students will write a short essay detailing </w:t>
      </w:r>
      <w:r w:rsidR="00C755F3">
        <w:rPr>
          <w:rFonts w:ascii="Times New Roman" w:eastAsia="Times New Roman" w:hAnsi="Times New Roman" w:cs="Times New Roman"/>
        </w:rPr>
        <w:t xml:space="preserve">their ethical perspective on </w:t>
      </w:r>
      <w:r w:rsidR="005636C8">
        <w:rPr>
          <w:rFonts w:ascii="Times New Roman" w:eastAsia="Times New Roman" w:hAnsi="Times New Roman" w:cs="Times New Roman"/>
        </w:rPr>
        <w:t xml:space="preserve">the appropriate use of this power </w:t>
      </w:r>
      <w:r w:rsidR="005E19AE">
        <w:rPr>
          <w:rFonts w:ascii="Times New Roman" w:eastAsia="Times New Roman" w:hAnsi="Times New Roman" w:cs="Times New Roman"/>
        </w:rPr>
        <w:t>in</w:t>
      </w:r>
      <w:r w:rsidR="005636C8">
        <w:rPr>
          <w:rFonts w:ascii="Times New Roman" w:eastAsia="Times New Roman" w:hAnsi="Times New Roman" w:cs="Times New Roman"/>
        </w:rPr>
        <w:t xml:space="preserve"> agriculture and</w:t>
      </w:r>
      <w:r w:rsidR="009B5BC5">
        <w:rPr>
          <w:rFonts w:ascii="Times New Roman" w:eastAsia="Times New Roman" w:hAnsi="Times New Roman" w:cs="Times New Roman"/>
        </w:rPr>
        <w:t xml:space="preserve"> natural resource</w:t>
      </w:r>
      <w:r w:rsidR="005E19AE">
        <w:rPr>
          <w:rFonts w:ascii="Times New Roman" w:eastAsia="Times New Roman" w:hAnsi="Times New Roman" w:cs="Times New Roman"/>
        </w:rPr>
        <w:t>s</w:t>
      </w:r>
      <w:r w:rsidR="009B5BC5">
        <w:rPr>
          <w:rFonts w:ascii="Times New Roman" w:eastAsia="Times New Roman" w:hAnsi="Times New Roman" w:cs="Times New Roman"/>
        </w:rPr>
        <w:t>.</w:t>
      </w:r>
    </w:p>
    <w:p w14:paraId="20681184" w14:textId="5374BF5B" w:rsidR="00A13E6F" w:rsidRDefault="00A13E6F" w:rsidP="006043E6">
      <w:pPr>
        <w:spacing w:after="0" w:line="240" w:lineRule="auto"/>
        <w:rPr>
          <w:rFonts w:ascii="Times New Roman" w:eastAsia="Times New Roman" w:hAnsi="Times New Roman" w:cs="Times New Roman"/>
        </w:rPr>
      </w:pPr>
    </w:p>
    <w:p w14:paraId="40DDEE0F" w14:textId="3FA90405" w:rsidR="00A13E6F" w:rsidRPr="00A13E6F" w:rsidRDefault="00A13E6F" w:rsidP="006043E6">
      <w:pPr>
        <w:spacing w:after="0" w:line="240" w:lineRule="auto"/>
        <w:rPr>
          <w:rFonts w:ascii="Times New Roman" w:eastAsia="Times New Roman" w:hAnsi="Times New Roman" w:cs="Times New Roman"/>
          <w:i/>
          <w:iCs/>
        </w:rPr>
      </w:pPr>
      <w:proofErr w:type="spellStart"/>
      <w:r w:rsidRPr="00A13E6F">
        <w:rPr>
          <w:rFonts w:ascii="Times New Roman" w:eastAsia="Times New Roman" w:hAnsi="Times New Roman" w:cs="Times New Roman"/>
          <w:i/>
          <w:iCs/>
        </w:rPr>
        <w:t>Perusall</w:t>
      </w:r>
      <w:proofErr w:type="spellEnd"/>
    </w:p>
    <w:p w14:paraId="26F94476" w14:textId="6D09222C" w:rsidR="00971389" w:rsidRPr="00DA5DE8" w:rsidRDefault="00DA5DE8" w:rsidP="00C27AFA">
      <w:pPr>
        <w:spacing w:after="0" w:line="240" w:lineRule="auto"/>
        <w:rPr>
          <w:rFonts w:ascii="Times New Roman" w:eastAsia="Times New Roman" w:hAnsi="Times New Roman" w:cs="Times New Roman"/>
        </w:rPr>
      </w:pPr>
      <w:r w:rsidRPr="00DA5DE8">
        <w:rPr>
          <w:rFonts w:ascii="Times New Roman" w:eastAsia="Times New Roman" w:hAnsi="Times New Roman" w:cs="Times New Roman"/>
        </w:rPr>
        <w:t xml:space="preserve">All course readings are available through </w:t>
      </w:r>
      <w:proofErr w:type="spellStart"/>
      <w:r w:rsidRPr="00DA5DE8">
        <w:rPr>
          <w:rFonts w:ascii="Times New Roman" w:eastAsia="Times New Roman" w:hAnsi="Times New Roman" w:cs="Times New Roman"/>
        </w:rPr>
        <w:t>Perusall</w:t>
      </w:r>
      <w:proofErr w:type="spellEnd"/>
      <w:r w:rsidRPr="00DA5DE8">
        <w:rPr>
          <w:rFonts w:ascii="Times New Roman" w:eastAsia="Times New Roman" w:hAnsi="Times New Roman" w:cs="Times New Roman"/>
        </w:rPr>
        <w:t xml:space="preserve">. This software allows you to post questions and comments on the readings and see the questions and comments of other students. By using </w:t>
      </w:r>
      <w:proofErr w:type="spellStart"/>
      <w:r w:rsidRPr="00DA5DE8">
        <w:rPr>
          <w:rFonts w:ascii="Times New Roman" w:eastAsia="Times New Roman" w:hAnsi="Times New Roman" w:cs="Times New Roman"/>
        </w:rPr>
        <w:t>Perusall</w:t>
      </w:r>
      <w:proofErr w:type="spellEnd"/>
      <w:r w:rsidRPr="00DA5DE8">
        <w:rPr>
          <w:rFonts w:ascii="Times New Roman" w:eastAsia="Times New Roman" w:hAnsi="Times New Roman" w:cs="Times New Roman"/>
        </w:rPr>
        <w:t>, you can help each other understand the material and help the instructor identify topics that could benefit from additional discussion. You are expected to add at least three questions or comments on each reading in advance of class. Your entries should demonstrate you are engaging with the material at a scholarly level. </w:t>
      </w:r>
    </w:p>
    <w:p w14:paraId="56768EA7" w14:textId="77777777" w:rsidR="00DA5DE8" w:rsidRPr="00626E36" w:rsidRDefault="00DA5DE8" w:rsidP="00C27AFA">
      <w:pPr>
        <w:spacing w:after="0" w:line="240" w:lineRule="auto"/>
        <w:rPr>
          <w:rFonts w:ascii="Times New Roman" w:eastAsia="Times New Roman" w:hAnsi="Times New Roman" w:cs="Times New Roman"/>
        </w:rPr>
      </w:pPr>
    </w:p>
    <w:p w14:paraId="6A42F923" w14:textId="7A264973" w:rsidR="00A462E7" w:rsidRPr="00FE5D04" w:rsidRDefault="00B5243C" w:rsidP="00C27AFA">
      <w:pPr>
        <w:spacing w:after="0" w:line="240" w:lineRule="auto"/>
        <w:rPr>
          <w:rFonts w:ascii="Times New Roman" w:eastAsia="Times New Roman" w:hAnsi="Times New Roman" w:cs="Times New Roman"/>
          <w:b/>
          <w:bCs/>
        </w:rPr>
      </w:pPr>
      <w:r w:rsidRPr="00626E36">
        <w:rPr>
          <w:rFonts w:ascii="Times New Roman" w:eastAsia="Times New Roman" w:hAnsi="Times New Roman" w:cs="Times New Roman"/>
          <w:b/>
          <w:bCs/>
        </w:rPr>
        <w:t>Grading</w:t>
      </w:r>
    </w:p>
    <w:tbl>
      <w:tblPr>
        <w:tblStyle w:val="PlainTable2"/>
        <w:tblW w:w="9630" w:type="dxa"/>
        <w:tblLook w:val="04A0" w:firstRow="1" w:lastRow="0" w:firstColumn="1" w:lastColumn="0" w:noHBand="0" w:noVBand="1"/>
      </w:tblPr>
      <w:tblGrid>
        <w:gridCol w:w="6030"/>
        <w:gridCol w:w="3600"/>
      </w:tblGrid>
      <w:tr w:rsidR="00E87E53" w:rsidRPr="007218D4" w14:paraId="2BE0ADCF" w14:textId="77777777" w:rsidTr="001E7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265C9EB7" w14:textId="77777777" w:rsidR="00E87E53" w:rsidRPr="007218D4" w:rsidRDefault="00E87E53" w:rsidP="00E87E53">
            <w:pPr>
              <w:rPr>
                <w:rFonts w:ascii="Times New Roman" w:hAnsi="Times New Roman" w:cs="Times New Roman"/>
                <w:bCs w:val="0"/>
              </w:rPr>
            </w:pPr>
            <w:r w:rsidRPr="007218D4">
              <w:rPr>
                <w:rFonts w:ascii="Times New Roman" w:hAnsi="Times New Roman" w:cs="Times New Roman"/>
                <w:bCs w:val="0"/>
              </w:rPr>
              <w:t>Assignment</w:t>
            </w:r>
          </w:p>
        </w:tc>
        <w:tc>
          <w:tcPr>
            <w:tcW w:w="3600" w:type="dxa"/>
          </w:tcPr>
          <w:p w14:paraId="50F04054" w14:textId="77777777" w:rsidR="00E87E53" w:rsidRPr="007218D4" w:rsidRDefault="00E87E53" w:rsidP="00E87E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218D4">
              <w:rPr>
                <w:rFonts w:ascii="Times New Roman" w:hAnsi="Times New Roman" w:cs="Times New Roman"/>
                <w:bCs w:val="0"/>
              </w:rPr>
              <w:t>Percentage of Final Grade</w:t>
            </w:r>
          </w:p>
        </w:tc>
      </w:tr>
      <w:tr w:rsidR="00306580" w:rsidRPr="007218D4" w14:paraId="5C7EAF65" w14:textId="77777777" w:rsidTr="001E7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344C47BA" w14:textId="032D3FA9" w:rsidR="00306580" w:rsidRPr="008112AB" w:rsidRDefault="00F12C29" w:rsidP="00E87E53">
            <w:pPr>
              <w:rPr>
                <w:rFonts w:ascii="Times New Roman" w:hAnsi="Times New Roman" w:cs="Times New Roman"/>
                <w:b w:val="0"/>
                <w:bCs w:val="0"/>
              </w:rPr>
            </w:pPr>
            <w:r>
              <w:rPr>
                <w:rFonts w:ascii="Times New Roman" w:hAnsi="Times New Roman" w:cs="Times New Roman"/>
                <w:b w:val="0"/>
                <w:bCs w:val="0"/>
              </w:rPr>
              <w:t>Case study</w:t>
            </w:r>
          </w:p>
        </w:tc>
        <w:tc>
          <w:tcPr>
            <w:tcW w:w="3600" w:type="dxa"/>
          </w:tcPr>
          <w:p w14:paraId="6D687C8A" w14:textId="3E458B04" w:rsidR="00306580" w:rsidRPr="007218D4" w:rsidRDefault="00306580" w:rsidP="00E87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A4B5A" w:rsidRPr="007218D4" w14:paraId="13FB6E3B" w14:textId="77777777" w:rsidTr="001E7088">
        <w:tc>
          <w:tcPr>
            <w:cnfStyle w:val="001000000000" w:firstRow="0" w:lastRow="0" w:firstColumn="1" w:lastColumn="0" w:oddVBand="0" w:evenVBand="0" w:oddHBand="0" w:evenHBand="0" w:firstRowFirstColumn="0" w:firstRowLastColumn="0" w:lastRowFirstColumn="0" w:lastRowLastColumn="0"/>
            <w:tcW w:w="6030" w:type="dxa"/>
          </w:tcPr>
          <w:p w14:paraId="3EFB3A5B" w14:textId="0D1D209D" w:rsidR="008A4B5A" w:rsidRPr="00252E41" w:rsidDel="008A4B5A" w:rsidRDefault="00F12C29" w:rsidP="00E87E53">
            <w:pPr>
              <w:rPr>
                <w:rFonts w:ascii="Times New Roman" w:hAnsi="Times New Roman" w:cs="Times New Roman"/>
                <w:b w:val="0"/>
                <w:bCs w:val="0"/>
              </w:rPr>
            </w:pPr>
            <w:r>
              <w:rPr>
                <w:rFonts w:ascii="Times New Roman" w:hAnsi="Times New Roman" w:cs="Times New Roman"/>
                <w:b w:val="0"/>
                <w:bCs w:val="0"/>
              </w:rPr>
              <w:t xml:space="preserve">     Proposal pitch</w:t>
            </w:r>
          </w:p>
        </w:tc>
        <w:tc>
          <w:tcPr>
            <w:tcW w:w="3600" w:type="dxa"/>
          </w:tcPr>
          <w:p w14:paraId="46FA8635" w14:textId="0CF2FFB5" w:rsidR="008A4B5A" w:rsidRDefault="00F12C29" w:rsidP="00E87E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r w:rsidRPr="007218D4">
              <w:rPr>
                <w:rFonts w:ascii="Times New Roman" w:hAnsi="Times New Roman" w:cs="Times New Roman"/>
              </w:rPr>
              <w:t>%</w:t>
            </w:r>
          </w:p>
        </w:tc>
      </w:tr>
      <w:tr w:rsidR="008A4B5A" w:rsidRPr="007218D4" w14:paraId="214BEB88" w14:textId="77777777" w:rsidTr="001E7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2F8573E6" w14:textId="10B6CEA9" w:rsidR="008A4B5A" w:rsidRDefault="008A4B5A" w:rsidP="00E87E53">
            <w:pPr>
              <w:rPr>
                <w:rFonts w:ascii="Times New Roman" w:hAnsi="Times New Roman" w:cs="Times New Roman"/>
                <w:b w:val="0"/>
                <w:bCs w:val="0"/>
              </w:rPr>
            </w:pPr>
            <w:r>
              <w:rPr>
                <w:rFonts w:ascii="Times New Roman" w:hAnsi="Times New Roman" w:cs="Times New Roman"/>
                <w:b w:val="0"/>
                <w:bCs w:val="0"/>
              </w:rPr>
              <w:t xml:space="preserve">     Introduction</w:t>
            </w:r>
            <w:r w:rsidR="00F62B4F">
              <w:rPr>
                <w:rFonts w:ascii="Times New Roman" w:hAnsi="Times New Roman" w:cs="Times New Roman"/>
                <w:b w:val="0"/>
                <w:bCs w:val="0"/>
              </w:rPr>
              <w:t xml:space="preserve"> with </w:t>
            </w:r>
            <w:r w:rsidR="001E7088">
              <w:rPr>
                <w:rFonts w:ascii="Times New Roman" w:hAnsi="Times New Roman" w:cs="Times New Roman"/>
                <w:b w:val="0"/>
                <w:bCs w:val="0"/>
              </w:rPr>
              <w:t>Theories &amp; Interventions Pt. 1</w:t>
            </w:r>
          </w:p>
        </w:tc>
        <w:tc>
          <w:tcPr>
            <w:tcW w:w="3600" w:type="dxa"/>
          </w:tcPr>
          <w:p w14:paraId="2DBC0656" w14:textId="5E860F2F" w:rsidR="008A4B5A" w:rsidRDefault="000B7DDF" w:rsidP="00E87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D7131A">
              <w:rPr>
                <w:rFonts w:ascii="Times New Roman" w:hAnsi="Times New Roman" w:cs="Times New Roman"/>
              </w:rPr>
              <w:t>0</w:t>
            </w:r>
            <w:r w:rsidR="006E7F5A">
              <w:rPr>
                <w:rFonts w:ascii="Times New Roman" w:hAnsi="Times New Roman" w:cs="Times New Roman"/>
              </w:rPr>
              <w:t>%</w:t>
            </w:r>
          </w:p>
        </w:tc>
      </w:tr>
      <w:tr w:rsidR="00836F4D" w:rsidRPr="007218D4" w14:paraId="47CC8FE9" w14:textId="77777777" w:rsidTr="001E7088">
        <w:tc>
          <w:tcPr>
            <w:cnfStyle w:val="001000000000" w:firstRow="0" w:lastRow="0" w:firstColumn="1" w:lastColumn="0" w:oddVBand="0" w:evenVBand="0" w:oddHBand="0" w:evenHBand="0" w:firstRowFirstColumn="0" w:firstRowLastColumn="0" w:lastRowFirstColumn="0" w:lastRowLastColumn="0"/>
            <w:tcW w:w="6030" w:type="dxa"/>
          </w:tcPr>
          <w:p w14:paraId="1FBF6B11" w14:textId="4566328B" w:rsidR="00836F4D" w:rsidRDefault="00836F4D" w:rsidP="00E87E53">
            <w:pPr>
              <w:rPr>
                <w:rFonts w:ascii="Times New Roman" w:hAnsi="Times New Roman" w:cs="Times New Roman"/>
              </w:rPr>
            </w:pPr>
            <w:r>
              <w:rPr>
                <w:rFonts w:ascii="Times New Roman" w:hAnsi="Times New Roman" w:cs="Times New Roman"/>
                <w:b w:val="0"/>
                <w:bCs w:val="0"/>
              </w:rPr>
              <w:t xml:space="preserve">     </w:t>
            </w:r>
            <w:r w:rsidRPr="008112AB">
              <w:rPr>
                <w:rFonts w:ascii="Times New Roman" w:hAnsi="Times New Roman" w:cs="Times New Roman"/>
                <w:b w:val="0"/>
                <w:bCs w:val="0"/>
              </w:rPr>
              <w:t>Cultural domain analysis</w:t>
            </w:r>
          </w:p>
        </w:tc>
        <w:tc>
          <w:tcPr>
            <w:tcW w:w="3600" w:type="dxa"/>
          </w:tcPr>
          <w:p w14:paraId="0D7B21CE" w14:textId="1BD50087" w:rsidR="00836F4D" w:rsidRDefault="00836F4D" w:rsidP="00E87E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r w:rsidRPr="007218D4">
              <w:rPr>
                <w:rFonts w:ascii="Times New Roman" w:hAnsi="Times New Roman" w:cs="Times New Roman"/>
              </w:rPr>
              <w:t>%</w:t>
            </w:r>
          </w:p>
        </w:tc>
      </w:tr>
      <w:tr w:rsidR="008A4B5A" w:rsidRPr="007218D4" w14:paraId="62A76868" w14:textId="77777777" w:rsidTr="001E7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0D03FA54" w14:textId="7B1FAC32" w:rsidR="008A4B5A" w:rsidRDefault="008A4B5A" w:rsidP="00E87E53">
            <w:pPr>
              <w:rPr>
                <w:rFonts w:ascii="Times New Roman" w:hAnsi="Times New Roman" w:cs="Times New Roman"/>
                <w:b w:val="0"/>
                <w:bCs w:val="0"/>
              </w:rPr>
            </w:pPr>
            <w:r>
              <w:rPr>
                <w:rFonts w:ascii="Times New Roman" w:hAnsi="Times New Roman" w:cs="Times New Roman"/>
                <w:b w:val="0"/>
                <w:bCs w:val="0"/>
              </w:rPr>
              <w:t xml:space="preserve">     Theories &amp; Interventions Pt. 2</w:t>
            </w:r>
          </w:p>
        </w:tc>
        <w:tc>
          <w:tcPr>
            <w:tcW w:w="3600" w:type="dxa"/>
          </w:tcPr>
          <w:p w14:paraId="6CA720EF" w14:textId="09D5FA54" w:rsidR="008A4B5A" w:rsidRDefault="00D7131A" w:rsidP="00E87E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r w:rsidR="006E7F5A">
              <w:rPr>
                <w:rFonts w:ascii="Times New Roman" w:hAnsi="Times New Roman" w:cs="Times New Roman"/>
              </w:rPr>
              <w:t>%</w:t>
            </w:r>
          </w:p>
        </w:tc>
      </w:tr>
      <w:tr w:rsidR="00872E30" w:rsidRPr="007218D4" w14:paraId="052CA4C9" w14:textId="77777777" w:rsidTr="001E7088">
        <w:tc>
          <w:tcPr>
            <w:cnfStyle w:val="001000000000" w:firstRow="0" w:lastRow="0" w:firstColumn="1" w:lastColumn="0" w:oddVBand="0" w:evenVBand="0" w:oddHBand="0" w:evenHBand="0" w:firstRowFirstColumn="0" w:firstRowLastColumn="0" w:lastRowFirstColumn="0" w:lastRowLastColumn="0"/>
            <w:tcW w:w="6030" w:type="dxa"/>
          </w:tcPr>
          <w:p w14:paraId="2E9F8D04" w14:textId="5050AEB3" w:rsidR="00872E30" w:rsidRPr="008112AB" w:rsidRDefault="00896556" w:rsidP="00872E30">
            <w:pPr>
              <w:rPr>
                <w:rFonts w:ascii="Times New Roman" w:hAnsi="Times New Roman" w:cs="Times New Roman"/>
              </w:rPr>
            </w:pPr>
            <w:r>
              <w:rPr>
                <w:rFonts w:ascii="Times New Roman" w:hAnsi="Times New Roman" w:cs="Times New Roman"/>
                <w:b w:val="0"/>
                <w:bCs w:val="0"/>
              </w:rPr>
              <w:t>Ethical perspective</w:t>
            </w:r>
            <w:r w:rsidR="00872E30" w:rsidRPr="008112AB">
              <w:rPr>
                <w:rFonts w:ascii="Times New Roman" w:hAnsi="Times New Roman" w:cs="Times New Roman"/>
                <w:b w:val="0"/>
                <w:bCs w:val="0"/>
              </w:rPr>
              <w:t xml:space="preserve"> </w:t>
            </w:r>
          </w:p>
        </w:tc>
        <w:tc>
          <w:tcPr>
            <w:tcW w:w="3600" w:type="dxa"/>
          </w:tcPr>
          <w:p w14:paraId="39F19D4F" w14:textId="519153F1" w:rsidR="00872E30" w:rsidRDefault="00227E1A" w:rsidP="00872E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872E30" w:rsidRPr="007218D4">
              <w:rPr>
                <w:rFonts w:ascii="Times New Roman" w:hAnsi="Times New Roman" w:cs="Times New Roman"/>
              </w:rPr>
              <w:t>%</w:t>
            </w:r>
          </w:p>
        </w:tc>
      </w:tr>
      <w:tr w:rsidR="00872E30" w:rsidRPr="007218D4" w14:paraId="5FF86F6A" w14:textId="77777777" w:rsidTr="001E7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47ED205E" w14:textId="5022F346" w:rsidR="00872E30" w:rsidRPr="008112AB" w:rsidRDefault="00872E30" w:rsidP="00872E30">
            <w:pPr>
              <w:rPr>
                <w:rFonts w:ascii="Times New Roman" w:hAnsi="Times New Roman" w:cs="Times New Roman"/>
                <w:b w:val="0"/>
                <w:bCs w:val="0"/>
              </w:rPr>
            </w:pPr>
            <w:proofErr w:type="spellStart"/>
            <w:r w:rsidRPr="008112AB">
              <w:rPr>
                <w:rFonts w:ascii="Times New Roman" w:hAnsi="Times New Roman" w:cs="Times New Roman"/>
                <w:b w:val="0"/>
                <w:bCs w:val="0"/>
              </w:rPr>
              <w:t>Perusall</w:t>
            </w:r>
            <w:proofErr w:type="spellEnd"/>
            <w:r w:rsidRPr="008112AB">
              <w:rPr>
                <w:rFonts w:ascii="Times New Roman" w:hAnsi="Times New Roman" w:cs="Times New Roman"/>
                <w:b w:val="0"/>
                <w:bCs w:val="0"/>
              </w:rPr>
              <w:t xml:space="preserve"> weekly entries</w:t>
            </w:r>
          </w:p>
        </w:tc>
        <w:tc>
          <w:tcPr>
            <w:tcW w:w="3600" w:type="dxa"/>
          </w:tcPr>
          <w:p w14:paraId="6EFFA20B" w14:textId="1F308D50" w:rsidR="00872E30" w:rsidRPr="007218D4" w:rsidRDefault="00872E30" w:rsidP="00872E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664F6D">
              <w:rPr>
                <w:rFonts w:ascii="Times New Roman" w:hAnsi="Times New Roman" w:cs="Times New Roman"/>
              </w:rPr>
              <w:t>5</w:t>
            </w:r>
            <w:r>
              <w:rPr>
                <w:rFonts w:ascii="Times New Roman" w:hAnsi="Times New Roman" w:cs="Times New Roman"/>
              </w:rPr>
              <w:t>%</w:t>
            </w:r>
          </w:p>
        </w:tc>
      </w:tr>
      <w:tr w:rsidR="00872E30" w:rsidRPr="007218D4" w14:paraId="25DB80D6" w14:textId="77777777" w:rsidTr="001E7088">
        <w:tc>
          <w:tcPr>
            <w:cnfStyle w:val="001000000000" w:firstRow="0" w:lastRow="0" w:firstColumn="1" w:lastColumn="0" w:oddVBand="0" w:evenVBand="0" w:oddHBand="0" w:evenHBand="0" w:firstRowFirstColumn="0" w:firstRowLastColumn="0" w:lastRowFirstColumn="0" w:lastRowLastColumn="0"/>
            <w:tcW w:w="6030" w:type="dxa"/>
          </w:tcPr>
          <w:p w14:paraId="081B0BC1" w14:textId="320785BA" w:rsidR="00872E30" w:rsidRPr="008112AB" w:rsidRDefault="00872E30" w:rsidP="00872E30">
            <w:pPr>
              <w:rPr>
                <w:rFonts w:ascii="Times New Roman" w:hAnsi="Times New Roman" w:cs="Times New Roman"/>
                <w:b w:val="0"/>
                <w:bCs w:val="0"/>
              </w:rPr>
            </w:pPr>
            <w:r w:rsidRPr="008112AB">
              <w:rPr>
                <w:rFonts w:ascii="Times New Roman" w:hAnsi="Times New Roman" w:cs="Times New Roman"/>
                <w:b w:val="0"/>
                <w:bCs w:val="0"/>
              </w:rPr>
              <w:t>Attendance and participation</w:t>
            </w:r>
          </w:p>
        </w:tc>
        <w:tc>
          <w:tcPr>
            <w:tcW w:w="3600" w:type="dxa"/>
          </w:tcPr>
          <w:p w14:paraId="2E87ABED" w14:textId="5BB6B74E" w:rsidR="00872E30" w:rsidRPr="007218D4" w:rsidRDefault="00872E30" w:rsidP="00872E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Pr="007218D4">
              <w:rPr>
                <w:rFonts w:ascii="Times New Roman" w:hAnsi="Times New Roman" w:cs="Times New Roman"/>
              </w:rPr>
              <w:t>%</w:t>
            </w:r>
          </w:p>
        </w:tc>
      </w:tr>
      <w:tr w:rsidR="00872E30" w:rsidRPr="007218D4" w14:paraId="177AE038" w14:textId="77777777" w:rsidTr="001E708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6030" w:type="dxa"/>
          </w:tcPr>
          <w:p w14:paraId="70EA4E22" w14:textId="397C561E" w:rsidR="00872E30" w:rsidRPr="007218D4" w:rsidRDefault="00872E30" w:rsidP="00872E30">
            <w:pPr>
              <w:rPr>
                <w:rFonts w:ascii="Times New Roman" w:hAnsi="Times New Roman" w:cs="Times New Roman"/>
              </w:rPr>
            </w:pPr>
            <w:r w:rsidRPr="007218D4">
              <w:rPr>
                <w:rFonts w:ascii="Times New Roman" w:hAnsi="Times New Roman" w:cs="Times New Roman"/>
              </w:rPr>
              <w:t>Total</w:t>
            </w:r>
          </w:p>
        </w:tc>
        <w:tc>
          <w:tcPr>
            <w:tcW w:w="3600" w:type="dxa"/>
          </w:tcPr>
          <w:p w14:paraId="46787DB2" w14:textId="77777777" w:rsidR="00872E30" w:rsidRPr="007218D4" w:rsidRDefault="00872E30" w:rsidP="00872E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218D4">
              <w:rPr>
                <w:rFonts w:ascii="Times New Roman" w:hAnsi="Times New Roman" w:cs="Times New Roman"/>
                <w:b/>
                <w:bCs/>
              </w:rPr>
              <w:t>100%</w:t>
            </w:r>
          </w:p>
        </w:tc>
      </w:tr>
    </w:tbl>
    <w:p w14:paraId="20C37FB9" w14:textId="2DDDD87E" w:rsidR="00EE2939" w:rsidRDefault="00EE2939" w:rsidP="00EE2939">
      <w:pPr>
        <w:spacing w:after="0" w:line="240" w:lineRule="auto"/>
        <w:textAlignment w:val="center"/>
        <w:rPr>
          <w:rFonts w:ascii="Times New Roman" w:eastAsia="Times New Roman" w:hAnsi="Times New Roman" w:cs="Times New Roman"/>
          <w:b/>
          <w:bCs/>
        </w:rPr>
      </w:pPr>
    </w:p>
    <w:p w14:paraId="36B312AB" w14:textId="77777777" w:rsidR="00520996" w:rsidRPr="00FE5D04" w:rsidRDefault="00520996" w:rsidP="00520996">
      <w:pPr>
        <w:spacing w:after="0" w:line="240" w:lineRule="auto"/>
        <w:textAlignment w:val="center"/>
        <w:rPr>
          <w:rFonts w:ascii="Times New Roman" w:eastAsia="Times New Roman" w:hAnsi="Times New Roman" w:cs="Times New Roman"/>
          <w:b/>
          <w:bCs/>
        </w:rPr>
      </w:pPr>
      <w:r w:rsidRPr="00B5243C">
        <w:rPr>
          <w:rFonts w:ascii="Times New Roman" w:eastAsia="Times New Roman" w:hAnsi="Times New Roman" w:cs="Times New Roman"/>
          <w:b/>
          <w:bCs/>
        </w:rPr>
        <w:t xml:space="preserve">Grading scale </w:t>
      </w:r>
    </w:p>
    <w:tbl>
      <w:tblPr>
        <w:tblW w:w="0" w:type="auto"/>
        <w:tblInd w:w="-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90"/>
      </w:tblGrid>
      <w:tr w:rsidR="00520996" w:rsidRPr="0085772F" w14:paraId="7E006D70" w14:textId="77777777" w:rsidTr="008D5F07">
        <w:trPr>
          <w:trHeight w:val="98"/>
        </w:trPr>
        <w:tc>
          <w:tcPr>
            <w:tcW w:w="1350" w:type="dxa"/>
          </w:tcPr>
          <w:p w14:paraId="0EDFFE32" w14:textId="77777777" w:rsidR="00520996" w:rsidRPr="0085772F" w:rsidRDefault="00520996" w:rsidP="008D5F07">
            <w:pPr>
              <w:pStyle w:val="Default"/>
              <w:rPr>
                <w:color w:val="auto"/>
                <w:sz w:val="22"/>
                <w:szCs w:val="22"/>
              </w:rPr>
            </w:pPr>
            <w:r w:rsidRPr="0085772F">
              <w:rPr>
                <w:b/>
                <w:bCs/>
                <w:color w:val="auto"/>
                <w:sz w:val="22"/>
                <w:szCs w:val="22"/>
              </w:rPr>
              <w:t xml:space="preserve">Percent </w:t>
            </w:r>
          </w:p>
        </w:tc>
        <w:tc>
          <w:tcPr>
            <w:tcW w:w="990" w:type="dxa"/>
          </w:tcPr>
          <w:p w14:paraId="42276FFF" w14:textId="77777777" w:rsidR="00520996" w:rsidRPr="0085772F" w:rsidRDefault="00520996" w:rsidP="008D5F07">
            <w:pPr>
              <w:pStyle w:val="Default"/>
              <w:rPr>
                <w:color w:val="auto"/>
                <w:sz w:val="22"/>
                <w:szCs w:val="22"/>
              </w:rPr>
            </w:pPr>
            <w:r w:rsidRPr="0085772F">
              <w:rPr>
                <w:b/>
                <w:bCs/>
                <w:color w:val="auto"/>
                <w:sz w:val="22"/>
                <w:szCs w:val="22"/>
              </w:rPr>
              <w:t xml:space="preserve">Grade </w:t>
            </w:r>
          </w:p>
        </w:tc>
      </w:tr>
      <w:tr w:rsidR="00520996" w:rsidRPr="0085772F" w14:paraId="061D07E6" w14:textId="77777777" w:rsidTr="008D5F07">
        <w:trPr>
          <w:trHeight w:val="100"/>
        </w:trPr>
        <w:tc>
          <w:tcPr>
            <w:tcW w:w="1350" w:type="dxa"/>
          </w:tcPr>
          <w:p w14:paraId="71735FCA" w14:textId="7471FEB3" w:rsidR="00520996" w:rsidRPr="0085772F" w:rsidRDefault="00520996" w:rsidP="008D5F07">
            <w:pPr>
              <w:pStyle w:val="Default"/>
              <w:rPr>
                <w:color w:val="auto"/>
                <w:sz w:val="22"/>
                <w:szCs w:val="22"/>
              </w:rPr>
            </w:pPr>
            <w:r w:rsidRPr="0085772F">
              <w:rPr>
                <w:color w:val="auto"/>
                <w:sz w:val="22"/>
                <w:szCs w:val="22"/>
              </w:rPr>
              <w:t>9</w:t>
            </w:r>
            <w:r>
              <w:rPr>
                <w:color w:val="auto"/>
                <w:sz w:val="22"/>
                <w:szCs w:val="22"/>
              </w:rPr>
              <w:t>2.5</w:t>
            </w:r>
            <w:r w:rsidRPr="0085772F">
              <w:rPr>
                <w:color w:val="auto"/>
                <w:sz w:val="22"/>
                <w:szCs w:val="22"/>
              </w:rPr>
              <w:t xml:space="preserve"> - 100 </w:t>
            </w:r>
          </w:p>
        </w:tc>
        <w:tc>
          <w:tcPr>
            <w:tcW w:w="990" w:type="dxa"/>
          </w:tcPr>
          <w:p w14:paraId="722EBD31" w14:textId="77777777" w:rsidR="00520996" w:rsidRPr="0085772F" w:rsidRDefault="00520996" w:rsidP="008D5F07">
            <w:pPr>
              <w:pStyle w:val="Default"/>
              <w:rPr>
                <w:color w:val="auto"/>
                <w:sz w:val="22"/>
                <w:szCs w:val="22"/>
              </w:rPr>
            </w:pPr>
            <w:r w:rsidRPr="0085772F">
              <w:rPr>
                <w:color w:val="auto"/>
                <w:sz w:val="22"/>
                <w:szCs w:val="22"/>
              </w:rPr>
              <w:t xml:space="preserve">A </w:t>
            </w:r>
          </w:p>
        </w:tc>
      </w:tr>
      <w:tr w:rsidR="00520996" w:rsidRPr="0085772F" w14:paraId="1B0D452B" w14:textId="77777777" w:rsidTr="008D5F07">
        <w:trPr>
          <w:trHeight w:val="100"/>
        </w:trPr>
        <w:tc>
          <w:tcPr>
            <w:tcW w:w="1350" w:type="dxa"/>
          </w:tcPr>
          <w:p w14:paraId="22C4C937" w14:textId="24E595A8" w:rsidR="00520996" w:rsidRPr="0085772F" w:rsidRDefault="00520996" w:rsidP="008D5F07">
            <w:pPr>
              <w:pStyle w:val="Default"/>
              <w:rPr>
                <w:color w:val="auto"/>
                <w:sz w:val="22"/>
                <w:szCs w:val="22"/>
              </w:rPr>
            </w:pPr>
            <w:r>
              <w:rPr>
                <w:color w:val="auto"/>
                <w:sz w:val="22"/>
                <w:szCs w:val="22"/>
              </w:rPr>
              <w:t>89.5</w:t>
            </w:r>
            <w:r w:rsidRPr="0085772F">
              <w:rPr>
                <w:color w:val="auto"/>
                <w:sz w:val="22"/>
                <w:szCs w:val="22"/>
              </w:rPr>
              <w:t xml:space="preserve"> </w:t>
            </w:r>
            <w:r w:rsidR="00D13B7E">
              <w:rPr>
                <w:color w:val="auto"/>
                <w:sz w:val="22"/>
                <w:szCs w:val="22"/>
              </w:rPr>
              <w:t>–</w:t>
            </w:r>
            <w:r w:rsidRPr="0085772F">
              <w:rPr>
                <w:color w:val="auto"/>
                <w:sz w:val="22"/>
                <w:szCs w:val="22"/>
              </w:rPr>
              <w:t xml:space="preserve"> </w:t>
            </w:r>
            <w:r>
              <w:rPr>
                <w:color w:val="auto"/>
                <w:sz w:val="22"/>
                <w:szCs w:val="22"/>
              </w:rPr>
              <w:t>92</w:t>
            </w:r>
            <w:r w:rsidR="00D13B7E">
              <w:rPr>
                <w:color w:val="auto"/>
                <w:sz w:val="22"/>
                <w:szCs w:val="22"/>
              </w:rPr>
              <w:t>.4</w:t>
            </w:r>
            <w:r w:rsidRPr="0085772F">
              <w:rPr>
                <w:color w:val="auto"/>
                <w:sz w:val="22"/>
                <w:szCs w:val="22"/>
              </w:rPr>
              <w:t xml:space="preserve"> </w:t>
            </w:r>
          </w:p>
        </w:tc>
        <w:tc>
          <w:tcPr>
            <w:tcW w:w="990" w:type="dxa"/>
          </w:tcPr>
          <w:p w14:paraId="72680178" w14:textId="77777777" w:rsidR="00520996" w:rsidRPr="0085772F" w:rsidRDefault="00520996" w:rsidP="008D5F07">
            <w:pPr>
              <w:pStyle w:val="Default"/>
              <w:rPr>
                <w:color w:val="auto"/>
                <w:sz w:val="22"/>
                <w:szCs w:val="22"/>
              </w:rPr>
            </w:pPr>
            <w:r w:rsidRPr="0085772F">
              <w:rPr>
                <w:color w:val="auto"/>
                <w:sz w:val="22"/>
                <w:szCs w:val="22"/>
              </w:rPr>
              <w:t xml:space="preserve">A- </w:t>
            </w:r>
          </w:p>
        </w:tc>
      </w:tr>
      <w:tr w:rsidR="00520996" w:rsidRPr="0085772F" w14:paraId="191FAC5A" w14:textId="77777777" w:rsidTr="008D5F07">
        <w:trPr>
          <w:trHeight w:val="100"/>
        </w:trPr>
        <w:tc>
          <w:tcPr>
            <w:tcW w:w="1350" w:type="dxa"/>
          </w:tcPr>
          <w:p w14:paraId="67233DBD" w14:textId="3C510846" w:rsidR="00520996" w:rsidRPr="0085772F" w:rsidRDefault="00520996" w:rsidP="008D5F07">
            <w:pPr>
              <w:pStyle w:val="Default"/>
              <w:rPr>
                <w:color w:val="auto"/>
                <w:sz w:val="22"/>
                <w:szCs w:val="22"/>
              </w:rPr>
            </w:pPr>
            <w:r>
              <w:rPr>
                <w:color w:val="auto"/>
                <w:sz w:val="22"/>
                <w:szCs w:val="22"/>
              </w:rPr>
              <w:t>86.5</w:t>
            </w:r>
            <w:r w:rsidRPr="0085772F">
              <w:rPr>
                <w:color w:val="auto"/>
                <w:sz w:val="22"/>
                <w:szCs w:val="22"/>
              </w:rPr>
              <w:t xml:space="preserve"> - 89</w:t>
            </w:r>
            <w:r w:rsidR="00D13B7E">
              <w:rPr>
                <w:color w:val="auto"/>
                <w:sz w:val="22"/>
                <w:szCs w:val="22"/>
              </w:rPr>
              <w:t>.4</w:t>
            </w:r>
            <w:r w:rsidRPr="0085772F">
              <w:rPr>
                <w:color w:val="auto"/>
                <w:sz w:val="22"/>
                <w:szCs w:val="22"/>
              </w:rPr>
              <w:t xml:space="preserve"> </w:t>
            </w:r>
          </w:p>
        </w:tc>
        <w:tc>
          <w:tcPr>
            <w:tcW w:w="990" w:type="dxa"/>
          </w:tcPr>
          <w:p w14:paraId="4E046190" w14:textId="77777777" w:rsidR="00520996" w:rsidRPr="0085772F" w:rsidRDefault="00520996" w:rsidP="008D5F07">
            <w:pPr>
              <w:pStyle w:val="Default"/>
              <w:rPr>
                <w:color w:val="auto"/>
                <w:sz w:val="22"/>
                <w:szCs w:val="22"/>
              </w:rPr>
            </w:pPr>
            <w:r w:rsidRPr="0085772F">
              <w:rPr>
                <w:color w:val="auto"/>
                <w:sz w:val="22"/>
                <w:szCs w:val="22"/>
              </w:rPr>
              <w:t xml:space="preserve">B+ </w:t>
            </w:r>
          </w:p>
        </w:tc>
      </w:tr>
      <w:tr w:rsidR="00520996" w:rsidRPr="0085772F" w14:paraId="2B6C0EAF" w14:textId="77777777" w:rsidTr="008D5F07">
        <w:trPr>
          <w:trHeight w:val="100"/>
        </w:trPr>
        <w:tc>
          <w:tcPr>
            <w:tcW w:w="1350" w:type="dxa"/>
          </w:tcPr>
          <w:p w14:paraId="6F23C6C5" w14:textId="0BB74185" w:rsidR="00520996" w:rsidRPr="0085772F" w:rsidRDefault="00520996" w:rsidP="008D5F07">
            <w:pPr>
              <w:pStyle w:val="Default"/>
              <w:rPr>
                <w:color w:val="auto"/>
                <w:sz w:val="22"/>
                <w:szCs w:val="22"/>
              </w:rPr>
            </w:pPr>
            <w:r>
              <w:rPr>
                <w:color w:val="auto"/>
                <w:sz w:val="22"/>
                <w:szCs w:val="22"/>
              </w:rPr>
              <w:t>82.5</w:t>
            </w:r>
            <w:r w:rsidRPr="0085772F">
              <w:rPr>
                <w:color w:val="auto"/>
                <w:sz w:val="22"/>
                <w:szCs w:val="22"/>
              </w:rPr>
              <w:t xml:space="preserve"> - 8</w:t>
            </w:r>
            <w:r>
              <w:rPr>
                <w:color w:val="auto"/>
                <w:sz w:val="22"/>
                <w:szCs w:val="22"/>
              </w:rPr>
              <w:t>6</w:t>
            </w:r>
            <w:r w:rsidR="00D13B7E">
              <w:rPr>
                <w:color w:val="auto"/>
                <w:sz w:val="22"/>
                <w:szCs w:val="22"/>
              </w:rPr>
              <w:t>.4</w:t>
            </w:r>
            <w:r w:rsidRPr="0085772F">
              <w:rPr>
                <w:color w:val="auto"/>
                <w:sz w:val="22"/>
                <w:szCs w:val="22"/>
              </w:rPr>
              <w:t xml:space="preserve"> </w:t>
            </w:r>
          </w:p>
        </w:tc>
        <w:tc>
          <w:tcPr>
            <w:tcW w:w="990" w:type="dxa"/>
          </w:tcPr>
          <w:p w14:paraId="4A8D57BF" w14:textId="77777777" w:rsidR="00520996" w:rsidRPr="0085772F" w:rsidRDefault="00520996" w:rsidP="008D5F07">
            <w:pPr>
              <w:pStyle w:val="Default"/>
              <w:rPr>
                <w:color w:val="auto"/>
                <w:sz w:val="22"/>
                <w:szCs w:val="22"/>
              </w:rPr>
            </w:pPr>
            <w:r w:rsidRPr="0085772F">
              <w:rPr>
                <w:color w:val="auto"/>
                <w:sz w:val="22"/>
                <w:szCs w:val="22"/>
              </w:rPr>
              <w:t xml:space="preserve">B </w:t>
            </w:r>
          </w:p>
        </w:tc>
      </w:tr>
      <w:tr w:rsidR="00520996" w:rsidRPr="0085772F" w14:paraId="0ED5C1CE" w14:textId="77777777" w:rsidTr="008D5F07">
        <w:trPr>
          <w:trHeight w:val="100"/>
        </w:trPr>
        <w:tc>
          <w:tcPr>
            <w:tcW w:w="1350" w:type="dxa"/>
          </w:tcPr>
          <w:p w14:paraId="6B7C104F" w14:textId="105947DD" w:rsidR="00520996" w:rsidRPr="0085772F" w:rsidRDefault="00520996" w:rsidP="008D5F07">
            <w:pPr>
              <w:pStyle w:val="Default"/>
              <w:rPr>
                <w:color w:val="auto"/>
                <w:sz w:val="22"/>
                <w:szCs w:val="22"/>
              </w:rPr>
            </w:pPr>
            <w:r>
              <w:rPr>
                <w:color w:val="auto"/>
                <w:sz w:val="22"/>
                <w:szCs w:val="22"/>
              </w:rPr>
              <w:t>79.5</w:t>
            </w:r>
            <w:r w:rsidRPr="0085772F">
              <w:rPr>
                <w:color w:val="auto"/>
                <w:sz w:val="22"/>
                <w:szCs w:val="22"/>
              </w:rPr>
              <w:t xml:space="preserve"> - 8</w:t>
            </w:r>
            <w:r>
              <w:rPr>
                <w:color w:val="auto"/>
                <w:sz w:val="22"/>
                <w:szCs w:val="22"/>
              </w:rPr>
              <w:t>2</w:t>
            </w:r>
            <w:r w:rsidR="00D13B7E">
              <w:rPr>
                <w:color w:val="auto"/>
                <w:sz w:val="22"/>
                <w:szCs w:val="22"/>
              </w:rPr>
              <w:t>.4</w:t>
            </w:r>
            <w:r w:rsidRPr="0085772F">
              <w:rPr>
                <w:color w:val="auto"/>
                <w:sz w:val="22"/>
                <w:szCs w:val="22"/>
              </w:rPr>
              <w:t xml:space="preserve"> </w:t>
            </w:r>
          </w:p>
        </w:tc>
        <w:tc>
          <w:tcPr>
            <w:tcW w:w="990" w:type="dxa"/>
          </w:tcPr>
          <w:p w14:paraId="118AA482" w14:textId="77777777" w:rsidR="00520996" w:rsidRPr="0085772F" w:rsidRDefault="00520996" w:rsidP="008D5F07">
            <w:pPr>
              <w:pStyle w:val="Default"/>
              <w:rPr>
                <w:color w:val="auto"/>
                <w:sz w:val="22"/>
                <w:szCs w:val="22"/>
              </w:rPr>
            </w:pPr>
            <w:r w:rsidRPr="0085772F">
              <w:rPr>
                <w:color w:val="auto"/>
                <w:sz w:val="22"/>
                <w:szCs w:val="22"/>
              </w:rPr>
              <w:t xml:space="preserve">B- </w:t>
            </w:r>
          </w:p>
        </w:tc>
      </w:tr>
      <w:tr w:rsidR="00520996" w:rsidRPr="0085772F" w14:paraId="633EE6AE" w14:textId="77777777" w:rsidTr="008D5F07">
        <w:trPr>
          <w:trHeight w:val="100"/>
        </w:trPr>
        <w:tc>
          <w:tcPr>
            <w:tcW w:w="1350" w:type="dxa"/>
          </w:tcPr>
          <w:p w14:paraId="3978C69D" w14:textId="4C2693C5" w:rsidR="00520996" w:rsidRPr="0085772F" w:rsidRDefault="00520996" w:rsidP="008D5F07">
            <w:pPr>
              <w:pStyle w:val="Default"/>
              <w:rPr>
                <w:color w:val="auto"/>
                <w:sz w:val="22"/>
                <w:szCs w:val="22"/>
              </w:rPr>
            </w:pPr>
            <w:r>
              <w:rPr>
                <w:color w:val="auto"/>
                <w:sz w:val="22"/>
                <w:szCs w:val="22"/>
              </w:rPr>
              <w:t>76.5 - 79</w:t>
            </w:r>
            <w:r w:rsidR="00D13B7E">
              <w:rPr>
                <w:color w:val="auto"/>
                <w:sz w:val="22"/>
                <w:szCs w:val="22"/>
              </w:rPr>
              <w:t>.4</w:t>
            </w:r>
            <w:r w:rsidRPr="0085772F">
              <w:rPr>
                <w:color w:val="auto"/>
                <w:sz w:val="22"/>
                <w:szCs w:val="22"/>
              </w:rPr>
              <w:t xml:space="preserve"> </w:t>
            </w:r>
          </w:p>
        </w:tc>
        <w:tc>
          <w:tcPr>
            <w:tcW w:w="990" w:type="dxa"/>
          </w:tcPr>
          <w:p w14:paraId="69685983" w14:textId="77777777" w:rsidR="00520996" w:rsidRPr="0085772F" w:rsidRDefault="00520996" w:rsidP="008D5F07">
            <w:pPr>
              <w:pStyle w:val="Default"/>
              <w:rPr>
                <w:color w:val="auto"/>
                <w:sz w:val="22"/>
                <w:szCs w:val="22"/>
              </w:rPr>
            </w:pPr>
            <w:r w:rsidRPr="0085772F">
              <w:rPr>
                <w:color w:val="auto"/>
                <w:sz w:val="22"/>
                <w:szCs w:val="22"/>
              </w:rPr>
              <w:t xml:space="preserve">C+ </w:t>
            </w:r>
          </w:p>
        </w:tc>
      </w:tr>
      <w:tr w:rsidR="00520996" w:rsidRPr="0085772F" w14:paraId="1F704A1F" w14:textId="77777777" w:rsidTr="008D5F07">
        <w:trPr>
          <w:trHeight w:val="100"/>
        </w:trPr>
        <w:tc>
          <w:tcPr>
            <w:tcW w:w="1350" w:type="dxa"/>
          </w:tcPr>
          <w:p w14:paraId="7F249738" w14:textId="7EFFC607" w:rsidR="00520996" w:rsidRPr="0085772F" w:rsidRDefault="00520996" w:rsidP="008D5F07">
            <w:pPr>
              <w:pStyle w:val="Default"/>
              <w:rPr>
                <w:color w:val="auto"/>
                <w:sz w:val="22"/>
                <w:szCs w:val="22"/>
              </w:rPr>
            </w:pPr>
            <w:r>
              <w:rPr>
                <w:color w:val="auto"/>
                <w:sz w:val="22"/>
                <w:szCs w:val="22"/>
              </w:rPr>
              <w:t>72.5 - 76</w:t>
            </w:r>
            <w:r w:rsidR="00D13B7E">
              <w:rPr>
                <w:color w:val="auto"/>
                <w:sz w:val="22"/>
                <w:szCs w:val="22"/>
              </w:rPr>
              <w:t>.4</w:t>
            </w:r>
          </w:p>
        </w:tc>
        <w:tc>
          <w:tcPr>
            <w:tcW w:w="990" w:type="dxa"/>
          </w:tcPr>
          <w:p w14:paraId="39CA42C5" w14:textId="77777777" w:rsidR="00520996" w:rsidRPr="0085772F" w:rsidRDefault="00520996" w:rsidP="008D5F07">
            <w:pPr>
              <w:pStyle w:val="Default"/>
              <w:rPr>
                <w:color w:val="auto"/>
                <w:sz w:val="22"/>
                <w:szCs w:val="22"/>
              </w:rPr>
            </w:pPr>
            <w:r w:rsidRPr="0085772F">
              <w:rPr>
                <w:color w:val="auto"/>
                <w:sz w:val="22"/>
                <w:szCs w:val="22"/>
              </w:rPr>
              <w:t xml:space="preserve">C </w:t>
            </w:r>
          </w:p>
        </w:tc>
      </w:tr>
      <w:tr w:rsidR="00520996" w:rsidRPr="0085772F" w14:paraId="29205145" w14:textId="77777777" w:rsidTr="008D5F07">
        <w:trPr>
          <w:trHeight w:val="100"/>
        </w:trPr>
        <w:tc>
          <w:tcPr>
            <w:tcW w:w="1350" w:type="dxa"/>
          </w:tcPr>
          <w:p w14:paraId="31D856D6" w14:textId="355CF61A" w:rsidR="00520996" w:rsidRPr="0085772F" w:rsidRDefault="00520996" w:rsidP="008D5F07">
            <w:pPr>
              <w:pStyle w:val="Default"/>
              <w:rPr>
                <w:color w:val="auto"/>
                <w:sz w:val="22"/>
                <w:szCs w:val="22"/>
              </w:rPr>
            </w:pPr>
            <w:r>
              <w:rPr>
                <w:color w:val="auto"/>
                <w:sz w:val="22"/>
                <w:szCs w:val="22"/>
              </w:rPr>
              <w:t>69.5 - 72</w:t>
            </w:r>
            <w:r w:rsidR="00D13B7E">
              <w:rPr>
                <w:color w:val="auto"/>
                <w:sz w:val="22"/>
                <w:szCs w:val="22"/>
              </w:rPr>
              <w:t>.4</w:t>
            </w:r>
            <w:r w:rsidRPr="0085772F">
              <w:rPr>
                <w:color w:val="auto"/>
                <w:sz w:val="22"/>
                <w:szCs w:val="22"/>
              </w:rPr>
              <w:t xml:space="preserve"> </w:t>
            </w:r>
          </w:p>
        </w:tc>
        <w:tc>
          <w:tcPr>
            <w:tcW w:w="990" w:type="dxa"/>
          </w:tcPr>
          <w:p w14:paraId="538825D5" w14:textId="77777777" w:rsidR="00520996" w:rsidRPr="0085772F" w:rsidRDefault="00520996" w:rsidP="008D5F07">
            <w:pPr>
              <w:pStyle w:val="Default"/>
              <w:rPr>
                <w:color w:val="auto"/>
                <w:sz w:val="22"/>
                <w:szCs w:val="22"/>
              </w:rPr>
            </w:pPr>
            <w:r w:rsidRPr="0085772F">
              <w:rPr>
                <w:color w:val="auto"/>
                <w:sz w:val="22"/>
                <w:szCs w:val="22"/>
              </w:rPr>
              <w:t xml:space="preserve">C- </w:t>
            </w:r>
          </w:p>
        </w:tc>
      </w:tr>
      <w:tr w:rsidR="00520996" w:rsidRPr="0085772F" w14:paraId="44EF23E5" w14:textId="77777777" w:rsidTr="008D5F07">
        <w:trPr>
          <w:trHeight w:val="100"/>
        </w:trPr>
        <w:tc>
          <w:tcPr>
            <w:tcW w:w="1350" w:type="dxa"/>
          </w:tcPr>
          <w:p w14:paraId="57DA8554" w14:textId="4A5A0B27" w:rsidR="00520996" w:rsidRPr="0085772F" w:rsidRDefault="00520996" w:rsidP="008D5F07">
            <w:pPr>
              <w:pStyle w:val="Default"/>
              <w:rPr>
                <w:color w:val="auto"/>
                <w:sz w:val="22"/>
                <w:szCs w:val="22"/>
              </w:rPr>
            </w:pPr>
            <w:r>
              <w:rPr>
                <w:color w:val="auto"/>
                <w:sz w:val="22"/>
                <w:szCs w:val="22"/>
              </w:rPr>
              <w:t>66.5 - 69</w:t>
            </w:r>
            <w:r w:rsidR="00D13B7E">
              <w:rPr>
                <w:color w:val="auto"/>
                <w:sz w:val="22"/>
                <w:szCs w:val="22"/>
              </w:rPr>
              <w:t>.4</w:t>
            </w:r>
            <w:r w:rsidRPr="0085772F">
              <w:rPr>
                <w:color w:val="auto"/>
                <w:sz w:val="22"/>
                <w:szCs w:val="22"/>
              </w:rPr>
              <w:t xml:space="preserve"> </w:t>
            </w:r>
          </w:p>
        </w:tc>
        <w:tc>
          <w:tcPr>
            <w:tcW w:w="990" w:type="dxa"/>
          </w:tcPr>
          <w:p w14:paraId="7539C95E" w14:textId="77777777" w:rsidR="00520996" w:rsidRPr="0085772F" w:rsidRDefault="00520996" w:rsidP="008D5F07">
            <w:pPr>
              <w:pStyle w:val="Default"/>
              <w:rPr>
                <w:color w:val="auto"/>
                <w:sz w:val="22"/>
                <w:szCs w:val="22"/>
              </w:rPr>
            </w:pPr>
            <w:r w:rsidRPr="0085772F">
              <w:rPr>
                <w:color w:val="auto"/>
                <w:sz w:val="22"/>
                <w:szCs w:val="22"/>
              </w:rPr>
              <w:t xml:space="preserve">D+ </w:t>
            </w:r>
          </w:p>
        </w:tc>
      </w:tr>
      <w:tr w:rsidR="00520996" w:rsidRPr="0085772F" w14:paraId="25A7355E" w14:textId="77777777" w:rsidTr="008D5F07">
        <w:trPr>
          <w:trHeight w:val="100"/>
        </w:trPr>
        <w:tc>
          <w:tcPr>
            <w:tcW w:w="1350" w:type="dxa"/>
          </w:tcPr>
          <w:p w14:paraId="2540CEB3" w14:textId="7B6AAA7C" w:rsidR="00520996" w:rsidRPr="0085772F" w:rsidRDefault="00520996" w:rsidP="008D5F07">
            <w:pPr>
              <w:pStyle w:val="Default"/>
              <w:rPr>
                <w:color w:val="auto"/>
                <w:sz w:val="22"/>
                <w:szCs w:val="22"/>
              </w:rPr>
            </w:pPr>
            <w:r w:rsidRPr="0085772F">
              <w:rPr>
                <w:color w:val="auto"/>
                <w:sz w:val="22"/>
                <w:szCs w:val="22"/>
              </w:rPr>
              <w:t>6</w:t>
            </w:r>
            <w:r>
              <w:rPr>
                <w:color w:val="auto"/>
                <w:sz w:val="22"/>
                <w:szCs w:val="22"/>
              </w:rPr>
              <w:t>2.5</w:t>
            </w:r>
            <w:r w:rsidRPr="0085772F">
              <w:rPr>
                <w:color w:val="auto"/>
                <w:sz w:val="22"/>
                <w:szCs w:val="22"/>
              </w:rPr>
              <w:t xml:space="preserve"> - 6</w:t>
            </w:r>
            <w:r>
              <w:rPr>
                <w:color w:val="auto"/>
                <w:sz w:val="22"/>
                <w:szCs w:val="22"/>
              </w:rPr>
              <w:t>6</w:t>
            </w:r>
            <w:r w:rsidR="00D13B7E">
              <w:rPr>
                <w:color w:val="auto"/>
                <w:sz w:val="22"/>
                <w:szCs w:val="22"/>
              </w:rPr>
              <w:t>.4</w:t>
            </w:r>
            <w:r w:rsidRPr="0085772F">
              <w:rPr>
                <w:color w:val="auto"/>
                <w:sz w:val="22"/>
                <w:szCs w:val="22"/>
              </w:rPr>
              <w:t xml:space="preserve"> </w:t>
            </w:r>
          </w:p>
        </w:tc>
        <w:tc>
          <w:tcPr>
            <w:tcW w:w="990" w:type="dxa"/>
          </w:tcPr>
          <w:p w14:paraId="42467FF2" w14:textId="77777777" w:rsidR="00520996" w:rsidRPr="0085772F" w:rsidRDefault="00520996" w:rsidP="008D5F07">
            <w:pPr>
              <w:pStyle w:val="Default"/>
              <w:rPr>
                <w:color w:val="auto"/>
                <w:sz w:val="22"/>
                <w:szCs w:val="22"/>
              </w:rPr>
            </w:pPr>
            <w:r w:rsidRPr="0085772F">
              <w:rPr>
                <w:color w:val="auto"/>
                <w:sz w:val="22"/>
                <w:szCs w:val="22"/>
              </w:rPr>
              <w:t xml:space="preserve">D </w:t>
            </w:r>
          </w:p>
        </w:tc>
      </w:tr>
      <w:tr w:rsidR="00520996" w:rsidRPr="0085772F" w14:paraId="32CBA88D" w14:textId="77777777" w:rsidTr="008D5F07">
        <w:trPr>
          <w:trHeight w:val="100"/>
        </w:trPr>
        <w:tc>
          <w:tcPr>
            <w:tcW w:w="1350" w:type="dxa"/>
          </w:tcPr>
          <w:p w14:paraId="1AB71172" w14:textId="461B56A6" w:rsidR="00520996" w:rsidRPr="0085772F" w:rsidRDefault="00520996" w:rsidP="008D5F07">
            <w:pPr>
              <w:pStyle w:val="Default"/>
              <w:rPr>
                <w:color w:val="auto"/>
                <w:sz w:val="22"/>
                <w:szCs w:val="22"/>
              </w:rPr>
            </w:pPr>
            <w:r>
              <w:rPr>
                <w:color w:val="auto"/>
                <w:sz w:val="22"/>
                <w:szCs w:val="22"/>
              </w:rPr>
              <w:t>59.5</w:t>
            </w:r>
            <w:r w:rsidRPr="0085772F">
              <w:rPr>
                <w:color w:val="auto"/>
                <w:sz w:val="22"/>
                <w:szCs w:val="22"/>
              </w:rPr>
              <w:t xml:space="preserve"> - 62</w:t>
            </w:r>
            <w:r w:rsidR="00D13B7E">
              <w:rPr>
                <w:color w:val="auto"/>
                <w:sz w:val="22"/>
                <w:szCs w:val="22"/>
              </w:rPr>
              <w:t>.4</w:t>
            </w:r>
            <w:r w:rsidRPr="0085772F">
              <w:rPr>
                <w:color w:val="auto"/>
                <w:sz w:val="22"/>
                <w:szCs w:val="22"/>
              </w:rPr>
              <w:t xml:space="preserve"> </w:t>
            </w:r>
          </w:p>
        </w:tc>
        <w:tc>
          <w:tcPr>
            <w:tcW w:w="990" w:type="dxa"/>
          </w:tcPr>
          <w:p w14:paraId="7C250206" w14:textId="77777777" w:rsidR="00520996" w:rsidRPr="0085772F" w:rsidRDefault="00520996" w:rsidP="008D5F07">
            <w:pPr>
              <w:pStyle w:val="Default"/>
              <w:rPr>
                <w:color w:val="auto"/>
                <w:sz w:val="22"/>
                <w:szCs w:val="22"/>
              </w:rPr>
            </w:pPr>
            <w:r w:rsidRPr="0085772F">
              <w:rPr>
                <w:color w:val="auto"/>
                <w:sz w:val="22"/>
                <w:szCs w:val="22"/>
              </w:rPr>
              <w:t xml:space="preserve">D- </w:t>
            </w:r>
          </w:p>
        </w:tc>
      </w:tr>
      <w:tr w:rsidR="00520996" w:rsidRPr="0085772F" w14:paraId="19B8139E" w14:textId="77777777" w:rsidTr="008D5F07">
        <w:trPr>
          <w:trHeight w:val="100"/>
        </w:trPr>
        <w:tc>
          <w:tcPr>
            <w:tcW w:w="1350" w:type="dxa"/>
          </w:tcPr>
          <w:p w14:paraId="4A0DF32D" w14:textId="21D80509" w:rsidR="00520996" w:rsidRPr="0085772F" w:rsidRDefault="00520996" w:rsidP="008D5F07">
            <w:pPr>
              <w:pStyle w:val="Default"/>
              <w:rPr>
                <w:color w:val="auto"/>
                <w:sz w:val="22"/>
                <w:szCs w:val="22"/>
              </w:rPr>
            </w:pPr>
            <w:r w:rsidRPr="0085772F">
              <w:rPr>
                <w:color w:val="auto"/>
                <w:sz w:val="22"/>
                <w:szCs w:val="22"/>
              </w:rPr>
              <w:t>0 - 59</w:t>
            </w:r>
            <w:r w:rsidR="00D13B7E">
              <w:rPr>
                <w:color w:val="auto"/>
                <w:sz w:val="22"/>
                <w:szCs w:val="22"/>
              </w:rPr>
              <w:t>.4</w:t>
            </w:r>
            <w:r w:rsidRPr="0085772F">
              <w:rPr>
                <w:color w:val="auto"/>
                <w:sz w:val="22"/>
                <w:szCs w:val="22"/>
              </w:rPr>
              <w:t xml:space="preserve"> </w:t>
            </w:r>
          </w:p>
        </w:tc>
        <w:tc>
          <w:tcPr>
            <w:tcW w:w="990" w:type="dxa"/>
          </w:tcPr>
          <w:p w14:paraId="1436E9E8" w14:textId="77777777" w:rsidR="00520996" w:rsidRPr="0085772F" w:rsidRDefault="00520996" w:rsidP="008D5F07">
            <w:pPr>
              <w:pStyle w:val="Default"/>
              <w:rPr>
                <w:color w:val="auto"/>
                <w:sz w:val="22"/>
                <w:szCs w:val="22"/>
              </w:rPr>
            </w:pPr>
            <w:r w:rsidRPr="0085772F">
              <w:rPr>
                <w:color w:val="auto"/>
                <w:sz w:val="22"/>
                <w:szCs w:val="22"/>
              </w:rPr>
              <w:t xml:space="preserve">E </w:t>
            </w:r>
          </w:p>
        </w:tc>
      </w:tr>
    </w:tbl>
    <w:p w14:paraId="45D55FED" w14:textId="77777777" w:rsidR="00520996" w:rsidRPr="0085772F" w:rsidRDefault="00520996" w:rsidP="00520996">
      <w:pPr>
        <w:spacing w:after="0" w:line="240" w:lineRule="auto"/>
        <w:textAlignment w:val="center"/>
        <w:rPr>
          <w:rFonts w:ascii="Times New Roman" w:eastAsia="Times New Roman" w:hAnsi="Times New Roman" w:cs="Times New Roman"/>
        </w:rPr>
      </w:pPr>
    </w:p>
    <w:p w14:paraId="1FA60C79" w14:textId="63B4BC6D" w:rsidR="002858BD" w:rsidRDefault="002858BD" w:rsidP="002858BD">
      <w:pPr>
        <w:ind w:left="720" w:hanging="720"/>
        <w:rPr>
          <w:rFonts w:ascii="Times New Roman" w:hAnsi="Times New Roman" w:cs="Times New Roman"/>
        </w:rPr>
      </w:pPr>
      <w:r w:rsidRPr="006E4B44">
        <w:rPr>
          <w:rFonts w:ascii="Times New Roman" w:hAnsi="Times New Roman" w:cs="Times New Roman"/>
          <w:i/>
          <w:iCs/>
        </w:rPr>
        <w:t xml:space="preserve">Late </w:t>
      </w:r>
      <w:r w:rsidR="00FA5AA2">
        <w:rPr>
          <w:rFonts w:ascii="Times New Roman" w:hAnsi="Times New Roman" w:cs="Times New Roman"/>
          <w:i/>
          <w:iCs/>
        </w:rPr>
        <w:t>written assignments</w:t>
      </w:r>
      <w:r w:rsidRPr="006E4B44">
        <w:rPr>
          <w:rFonts w:ascii="Times New Roman" w:hAnsi="Times New Roman" w:cs="Times New Roman"/>
          <w:i/>
          <w:iCs/>
        </w:rPr>
        <w:t>:</w:t>
      </w:r>
      <w:r w:rsidRPr="0085772F">
        <w:rPr>
          <w:rFonts w:ascii="Times New Roman" w:hAnsi="Times New Roman" w:cs="Times New Roman"/>
        </w:rPr>
        <w:t xml:space="preserve"> Unless otherwise </w:t>
      </w:r>
      <w:r>
        <w:rPr>
          <w:rFonts w:ascii="Times New Roman" w:hAnsi="Times New Roman" w:cs="Times New Roman"/>
        </w:rPr>
        <w:t xml:space="preserve">stated or </w:t>
      </w:r>
      <w:r w:rsidRPr="0085772F">
        <w:rPr>
          <w:rFonts w:ascii="Times New Roman" w:hAnsi="Times New Roman" w:cs="Times New Roman"/>
        </w:rPr>
        <w:t>agreed</w:t>
      </w:r>
      <w:r>
        <w:rPr>
          <w:rFonts w:ascii="Times New Roman" w:hAnsi="Times New Roman" w:cs="Times New Roman"/>
        </w:rPr>
        <w:t xml:space="preserve"> upon</w:t>
      </w:r>
      <w:r w:rsidRPr="0085772F">
        <w:rPr>
          <w:rFonts w:ascii="Times New Roman" w:hAnsi="Times New Roman" w:cs="Times New Roman"/>
        </w:rPr>
        <w:t>, late submissions will be penalized as follows</w:t>
      </w:r>
      <w:r w:rsidRPr="0085772F">
        <w:rPr>
          <w:rFonts w:ascii="Times New Roman" w:hAnsi="Times New Roman" w:cs="Times New Roman"/>
        </w:rPr>
        <w:br/>
        <w:t>-10% if between 1 minute and 24 hours late</w:t>
      </w:r>
      <w:r w:rsidRPr="0085772F">
        <w:rPr>
          <w:rFonts w:ascii="Times New Roman" w:hAnsi="Times New Roman" w:cs="Times New Roman"/>
        </w:rPr>
        <w:br/>
        <w:t>-20% if 24 to 48 hours late</w:t>
      </w:r>
      <w:r w:rsidRPr="0085772F">
        <w:rPr>
          <w:rFonts w:ascii="Times New Roman" w:hAnsi="Times New Roman" w:cs="Times New Roman"/>
        </w:rPr>
        <w:br/>
      </w:r>
      <w:r w:rsidRPr="0085772F">
        <w:rPr>
          <w:rFonts w:ascii="Times New Roman" w:hAnsi="Times New Roman" w:cs="Times New Roman"/>
        </w:rPr>
        <w:lastRenderedPageBreak/>
        <w:t>-30% if 48 to 72 hours late</w:t>
      </w:r>
      <w:r w:rsidRPr="0085772F">
        <w:rPr>
          <w:rFonts w:ascii="Times New Roman" w:hAnsi="Times New Roman" w:cs="Times New Roman"/>
        </w:rPr>
        <w:br/>
        <w:t>Not accepted if more than 72 hours late</w:t>
      </w:r>
    </w:p>
    <w:p w14:paraId="2A976988" w14:textId="6ED20038" w:rsidR="00E8205B" w:rsidRPr="008514AE" w:rsidRDefault="0070383F" w:rsidP="008514AE">
      <w:pPr>
        <w:ind w:left="720" w:hanging="720"/>
        <w:rPr>
          <w:rFonts w:ascii="Times New Roman" w:hAnsi="Times New Roman" w:cs="Times New Roman"/>
          <w:i/>
          <w:iCs/>
        </w:rPr>
      </w:pPr>
      <w:r w:rsidRPr="008514AE">
        <w:rPr>
          <w:rFonts w:ascii="Times New Roman" w:hAnsi="Times New Roman" w:cs="Times New Roman"/>
          <w:i/>
          <w:iCs/>
        </w:rPr>
        <w:t>Missed presentations:</w:t>
      </w:r>
      <w:r w:rsidRPr="008514AE">
        <w:rPr>
          <w:rFonts w:ascii="Times New Roman" w:hAnsi="Times New Roman" w:cs="Times New Roman"/>
        </w:rPr>
        <w:t xml:space="preserve"> </w:t>
      </w:r>
      <w:r w:rsidR="008514AE" w:rsidRPr="008514AE">
        <w:rPr>
          <w:rFonts w:ascii="Times New Roman" w:hAnsi="Times New Roman" w:cs="Times New Roman"/>
        </w:rPr>
        <w:br/>
      </w:r>
      <w:r w:rsidR="00DE5974" w:rsidRPr="008514AE">
        <w:rPr>
          <w:rFonts w:ascii="Times New Roman" w:hAnsi="Times New Roman" w:cs="Times New Roman"/>
          <w:i/>
          <w:iCs/>
        </w:rPr>
        <w:t xml:space="preserve">In the case of an excused absence, </w:t>
      </w:r>
      <w:r w:rsidR="001C217F" w:rsidRPr="008514AE">
        <w:rPr>
          <w:rFonts w:ascii="Times New Roman" w:hAnsi="Times New Roman" w:cs="Times New Roman"/>
        </w:rPr>
        <w:t>presentations can be rescheduled with the instructor without penalty</w:t>
      </w:r>
      <w:r w:rsidR="001C217F" w:rsidRPr="008514AE">
        <w:rPr>
          <w:rFonts w:ascii="Times New Roman" w:hAnsi="Times New Roman" w:cs="Times New Roman"/>
          <w:i/>
          <w:iCs/>
        </w:rPr>
        <w:t xml:space="preserve">. </w:t>
      </w:r>
      <w:r w:rsidR="008514AE" w:rsidRPr="008514AE">
        <w:rPr>
          <w:rFonts w:ascii="Times New Roman" w:hAnsi="Times New Roman" w:cs="Times New Roman"/>
          <w:i/>
          <w:iCs/>
        </w:rPr>
        <w:br/>
      </w:r>
      <w:r w:rsidR="00956C98" w:rsidRPr="008514AE">
        <w:rPr>
          <w:rFonts w:ascii="Times New Roman" w:hAnsi="Times New Roman" w:cs="Times New Roman"/>
          <w:i/>
          <w:iCs/>
        </w:rPr>
        <w:t>In the case of an unexcused absence</w:t>
      </w:r>
      <w:r w:rsidRPr="008514AE">
        <w:rPr>
          <w:rFonts w:ascii="Times New Roman" w:hAnsi="Times New Roman" w:cs="Times New Roman"/>
        </w:rPr>
        <w:t>,</w:t>
      </w:r>
      <w:r w:rsidR="00B83E4B" w:rsidRPr="008514AE">
        <w:rPr>
          <w:rFonts w:ascii="Times New Roman" w:hAnsi="Times New Roman" w:cs="Times New Roman"/>
        </w:rPr>
        <w:t xml:space="preserve"> missed presentations must be recorded and sent to the class </w:t>
      </w:r>
      <w:r w:rsidR="004D08B9" w:rsidRPr="008514AE">
        <w:rPr>
          <w:rFonts w:ascii="Times New Roman" w:hAnsi="Times New Roman" w:cs="Times New Roman"/>
        </w:rPr>
        <w:t xml:space="preserve">(by the student) for feedback. </w:t>
      </w:r>
      <w:r w:rsidR="00125967" w:rsidRPr="008514AE">
        <w:rPr>
          <w:rFonts w:ascii="Times New Roman" w:hAnsi="Times New Roman" w:cs="Times New Roman"/>
        </w:rPr>
        <w:t xml:space="preserve">The recorded presentation must be accompanied by </w:t>
      </w:r>
      <w:r w:rsidR="006F79BE" w:rsidRPr="008514AE">
        <w:rPr>
          <w:rFonts w:ascii="Times New Roman" w:hAnsi="Times New Roman" w:cs="Times New Roman"/>
        </w:rPr>
        <w:t>a three-page, single-spaced report with references.</w:t>
      </w:r>
      <w:r w:rsidR="00E8205B" w:rsidRPr="008514AE">
        <w:rPr>
          <w:rFonts w:ascii="Times New Roman" w:hAnsi="Times New Roman" w:cs="Times New Roman"/>
        </w:rPr>
        <w:t xml:space="preserve"> Late presentations will be penalized as follows</w:t>
      </w:r>
      <w:r w:rsidR="00E8205B" w:rsidRPr="008514AE">
        <w:rPr>
          <w:rFonts w:ascii="Times New Roman" w:hAnsi="Times New Roman" w:cs="Times New Roman"/>
        </w:rPr>
        <w:br/>
        <w:t>-</w:t>
      </w:r>
      <w:r w:rsidR="00207B5E" w:rsidRPr="008514AE">
        <w:rPr>
          <w:rFonts w:ascii="Times New Roman" w:hAnsi="Times New Roman" w:cs="Times New Roman"/>
        </w:rPr>
        <w:t>2</w:t>
      </w:r>
      <w:r w:rsidR="00E8205B" w:rsidRPr="008514AE">
        <w:rPr>
          <w:rFonts w:ascii="Times New Roman" w:hAnsi="Times New Roman" w:cs="Times New Roman"/>
        </w:rPr>
        <w:t xml:space="preserve">0% if between 1 minute and </w:t>
      </w:r>
      <w:r w:rsidR="00240FF9" w:rsidRPr="008514AE">
        <w:rPr>
          <w:rFonts w:ascii="Times New Roman" w:hAnsi="Times New Roman" w:cs="Times New Roman"/>
        </w:rPr>
        <w:t>48</w:t>
      </w:r>
      <w:r w:rsidR="00E8205B" w:rsidRPr="008514AE">
        <w:rPr>
          <w:rFonts w:ascii="Times New Roman" w:hAnsi="Times New Roman" w:cs="Times New Roman"/>
        </w:rPr>
        <w:t xml:space="preserve"> hours late</w:t>
      </w:r>
      <w:r w:rsidR="00E8205B" w:rsidRPr="008514AE">
        <w:rPr>
          <w:rFonts w:ascii="Times New Roman" w:hAnsi="Times New Roman" w:cs="Times New Roman"/>
        </w:rPr>
        <w:br/>
        <w:t>-</w:t>
      </w:r>
      <w:r w:rsidR="00207B5E" w:rsidRPr="008514AE">
        <w:rPr>
          <w:rFonts w:ascii="Times New Roman" w:hAnsi="Times New Roman" w:cs="Times New Roman"/>
        </w:rPr>
        <w:t>3</w:t>
      </w:r>
      <w:r w:rsidR="00E8205B" w:rsidRPr="008514AE">
        <w:rPr>
          <w:rFonts w:ascii="Times New Roman" w:hAnsi="Times New Roman" w:cs="Times New Roman"/>
        </w:rPr>
        <w:t xml:space="preserve">0% if </w:t>
      </w:r>
      <w:r w:rsidR="00240FF9" w:rsidRPr="008514AE">
        <w:rPr>
          <w:rFonts w:ascii="Times New Roman" w:hAnsi="Times New Roman" w:cs="Times New Roman"/>
        </w:rPr>
        <w:t>48</w:t>
      </w:r>
      <w:r w:rsidR="00E8205B" w:rsidRPr="008514AE">
        <w:rPr>
          <w:rFonts w:ascii="Times New Roman" w:hAnsi="Times New Roman" w:cs="Times New Roman"/>
        </w:rPr>
        <w:t xml:space="preserve"> to </w:t>
      </w:r>
      <w:r w:rsidR="005F7E89" w:rsidRPr="008514AE">
        <w:rPr>
          <w:rFonts w:ascii="Times New Roman" w:hAnsi="Times New Roman" w:cs="Times New Roman"/>
        </w:rPr>
        <w:t>96</w:t>
      </w:r>
      <w:r w:rsidR="00E8205B" w:rsidRPr="008514AE">
        <w:rPr>
          <w:rFonts w:ascii="Times New Roman" w:hAnsi="Times New Roman" w:cs="Times New Roman"/>
        </w:rPr>
        <w:t xml:space="preserve"> hours late</w:t>
      </w:r>
      <w:r w:rsidR="00E8205B" w:rsidRPr="008514AE">
        <w:rPr>
          <w:rFonts w:ascii="Times New Roman" w:hAnsi="Times New Roman" w:cs="Times New Roman"/>
        </w:rPr>
        <w:br/>
        <w:t>-</w:t>
      </w:r>
      <w:r w:rsidR="00207B5E" w:rsidRPr="008514AE">
        <w:rPr>
          <w:rFonts w:ascii="Times New Roman" w:hAnsi="Times New Roman" w:cs="Times New Roman"/>
        </w:rPr>
        <w:t>4</w:t>
      </w:r>
      <w:r w:rsidR="00E8205B" w:rsidRPr="008514AE">
        <w:rPr>
          <w:rFonts w:ascii="Times New Roman" w:hAnsi="Times New Roman" w:cs="Times New Roman"/>
        </w:rPr>
        <w:t xml:space="preserve">0% if </w:t>
      </w:r>
      <w:r w:rsidR="005F7E89" w:rsidRPr="008514AE">
        <w:rPr>
          <w:rFonts w:ascii="Times New Roman" w:hAnsi="Times New Roman" w:cs="Times New Roman"/>
        </w:rPr>
        <w:t>96</w:t>
      </w:r>
      <w:r w:rsidR="00BC7E05" w:rsidRPr="008514AE">
        <w:rPr>
          <w:rFonts w:ascii="Times New Roman" w:hAnsi="Times New Roman" w:cs="Times New Roman"/>
        </w:rPr>
        <w:t xml:space="preserve"> hours</w:t>
      </w:r>
      <w:r w:rsidR="00E8205B" w:rsidRPr="008514AE">
        <w:rPr>
          <w:rFonts w:ascii="Times New Roman" w:hAnsi="Times New Roman" w:cs="Times New Roman"/>
        </w:rPr>
        <w:t xml:space="preserve"> to </w:t>
      </w:r>
      <w:r w:rsidR="00BC7E05" w:rsidRPr="008514AE">
        <w:rPr>
          <w:rFonts w:ascii="Times New Roman" w:hAnsi="Times New Roman" w:cs="Times New Roman"/>
        </w:rPr>
        <w:t>1 week</w:t>
      </w:r>
      <w:r w:rsidR="00E8205B" w:rsidRPr="008514AE">
        <w:rPr>
          <w:rFonts w:ascii="Times New Roman" w:hAnsi="Times New Roman" w:cs="Times New Roman"/>
        </w:rPr>
        <w:t xml:space="preserve"> late</w:t>
      </w:r>
      <w:r w:rsidR="00E8205B" w:rsidRPr="008514AE">
        <w:rPr>
          <w:rFonts w:ascii="Times New Roman" w:hAnsi="Times New Roman" w:cs="Times New Roman"/>
        </w:rPr>
        <w:br/>
        <w:t xml:space="preserve">Not accepted if more than </w:t>
      </w:r>
      <w:r w:rsidR="00BC7E05" w:rsidRPr="008514AE">
        <w:rPr>
          <w:rFonts w:ascii="Times New Roman" w:hAnsi="Times New Roman" w:cs="Times New Roman"/>
        </w:rPr>
        <w:t>1 week</w:t>
      </w:r>
      <w:r w:rsidR="00E8205B" w:rsidRPr="008514AE">
        <w:rPr>
          <w:rFonts w:ascii="Times New Roman" w:hAnsi="Times New Roman" w:cs="Times New Roman"/>
        </w:rPr>
        <w:t xml:space="preserve"> late</w:t>
      </w:r>
    </w:p>
    <w:p w14:paraId="50D3C0ED" w14:textId="47490B25" w:rsidR="00C27AFA" w:rsidRDefault="00C27AFA" w:rsidP="00C27AFA">
      <w:pPr>
        <w:spacing w:after="0" w:line="240" w:lineRule="auto"/>
        <w:rPr>
          <w:rFonts w:ascii="Times New Roman" w:eastAsia="Times New Roman" w:hAnsi="Times New Roman" w:cs="Times New Roman"/>
        </w:rPr>
      </w:pPr>
      <w:r w:rsidRPr="0085772F">
        <w:rPr>
          <w:rFonts w:ascii="Times New Roman" w:eastAsia="Times New Roman" w:hAnsi="Times New Roman" w:cs="Times New Roman"/>
        </w:rPr>
        <w:t> </w:t>
      </w:r>
    </w:p>
    <w:p w14:paraId="4A226D6B" w14:textId="4A88201E" w:rsidR="008F582F" w:rsidRPr="008A2C82" w:rsidRDefault="00C27AFA" w:rsidP="00C27AFA">
      <w:pPr>
        <w:spacing w:after="0" w:line="240" w:lineRule="auto"/>
        <w:rPr>
          <w:rFonts w:ascii="Times New Roman" w:eastAsia="Times New Roman" w:hAnsi="Times New Roman" w:cs="Times New Roman"/>
          <w:b/>
          <w:bCs/>
        </w:rPr>
      </w:pPr>
      <w:r w:rsidRPr="0085772F">
        <w:rPr>
          <w:rFonts w:ascii="Times New Roman" w:eastAsia="Times New Roman" w:hAnsi="Times New Roman" w:cs="Times New Roman"/>
          <w:b/>
          <w:bCs/>
        </w:rPr>
        <w:t xml:space="preserve">Weekly </w:t>
      </w:r>
      <w:r w:rsidRPr="00656C50">
        <w:rPr>
          <w:rFonts w:ascii="Times New Roman" w:eastAsia="Times New Roman" w:hAnsi="Times New Roman" w:cs="Times New Roman"/>
          <w:b/>
          <w:bCs/>
        </w:rPr>
        <w:t>Schedule of Topics</w:t>
      </w:r>
      <w:r w:rsidR="00EE2939" w:rsidRPr="00656C50">
        <w:rPr>
          <w:rFonts w:ascii="Times New Roman" w:eastAsia="Times New Roman" w:hAnsi="Times New Roman" w:cs="Times New Roman"/>
          <w:b/>
          <w:bCs/>
        </w:rPr>
        <w:t xml:space="preserve"> and Assignments</w:t>
      </w:r>
      <w:r w:rsidRPr="00656C50">
        <w:rPr>
          <w:rFonts w:ascii="Times New Roman" w:eastAsia="Times New Roman" w:hAnsi="Times New Roman" w:cs="Times New Roman"/>
          <w:b/>
          <w:bCs/>
        </w:rPr>
        <w:t>:</w:t>
      </w:r>
    </w:p>
    <w:tbl>
      <w:tblPr>
        <w:tblStyle w:val="TableGrid"/>
        <w:tblW w:w="0" w:type="auto"/>
        <w:tblLook w:val="04A0" w:firstRow="1" w:lastRow="0" w:firstColumn="1" w:lastColumn="0" w:noHBand="0" w:noVBand="1"/>
      </w:tblPr>
      <w:tblGrid>
        <w:gridCol w:w="528"/>
        <w:gridCol w:w="928"/>
        <w:gridCol w:w="5019"/>
        <w:gridCol w:w="3330"/>
      </w:tblGrid>
      <w:tr w:rsidR="000B5220" w:rsidRPr="00872E30" w14:paraId="2CEDF7B5" w14:textId="77777777" w:rsidTr="000B5220">
        <w:trPr>
          <w:cantSplit/>
        </w:trPr>
        <w:tc>
          <w:tcPr>
            <w:tcW w:w="528" w:type="dxa"/>
          </w:tcPr>
          <w:p w14:paraId="6B1E8399" w14:textId="14514A04" w:rsidR="000B5220" w:rsidRPr="00252E41" w:rsidRDefault="000B5220" w:rsidP="005E0739">
            <w:pPr>
              <w:jc w:val="center"/>
              <w:rPr>
                <w:b/>
                <w:bCs/>
              </w:rPr>
            </w:pPr>
            <w:proofErr w:type="spellStart"/>
            <w:r w:rsidRPr="00872E30">
              <w:rPr>
                <w:b/>
                <w:bCs/>
              </w:rPr>
              <w:t>Wk</w:t>
            </w:r>
            <w:proofErr w:type="spellEnd"/>
          </w:p>
        </w:tc>
        <w:tc>
          <w:tcPr>
            <w:tcW w:w="928" w:type="dxa"/>
          </w:tcPr>
          <w:p w14:paraId="07A31681" w14:textId="46B36460" w:rsidR="000B5220" w:rsidRPr="00252E41" w:rsidRDefault="000B5220" w:rsidP="00C27AFA">
            <w:pPr>
              <w:rPr>
                <w:b/>
                <w:bCs/>
              </w:rPr>
            </w:pPr>
            <w:r w:rsidRPr="00872E30">
              <w:rPr>
                <w:b/>
                <w:bCs/>
              </w:rPr>
              <w:t>Date</w:t>
            </w:r>
          </w:p>
        </w:tc>
        <w:tc>
          <w:tcPr>
            <w:tcW w:w="5019" w:type="dxa"/>
          </w:tcPr>
          <w:p w14:paraId="16A2F63B" w14:textId="72134E86" w:rsidR="000B5220" w:rsidRPr="00252E41" w:rsidRDefault="000B5220" w:rsidP="00C27AFA">
            <w:pPr>
              <w:rPr>
                <w:b/>
                <w:bCs/>
              </w:rPr>
            </w:pPr>
            <w:r w:rsidRPr="00872E30">
              <w:rPr>
                <w:b/>
                <w:bCs/>
              </w:rPr>
              <w:t>Topic</w:t>
            </w:r>
          </w:p>
        </w:tc>
        <w:tc>
          <w:tcPr>
            <w:tcW w:w="3330" w:type="dxa"/>
          </w:tcPr>
          <w:p w14:paraId="4848D3B1" w14:textId="3C329095" w:rsidR="000B5220" w:rsidRPr="00252E41" w:rsidRDefault="000B5220" w:rsidP="00C27AFA">
            <w:pPr>
              <w:rPr>
                <w:b/>
                <w:bCs/>
              </w:rPr>
            </w:pPr>
            <w:r w:rsidRPr="00872E30">
              <w:rPr>
                <w:b/>
                <w:bCs/>
              </w:rPr>
              <w:t>Assignments Due</w:t>
            </w:r>
          </w:p>
        </w:tc>
      </w:tr>
      <w:tr w:rsidR="000B5220" w:rsidRPr="00872E30" w14:paraId="5B49D42F" w14:textId="77777777" w:rsidTr="000B5220">
        <w:trPr>
          <w:cantSplit/>
        </w:trPr>
        <w:tc>
          <w:tcPr>
            <w:tcW w:w="528" w:type="dxa"/>
          </w:tcPr>
          <w:p w14:paraId="479A3835" w14:textId="77777777" w:rsidR="000B5220" w:rsidRPr="00872E30" w:rsidRDefault="000B5220" w:rsidP="005E0739">
            <w:pPr>
              <w:jc w:val="center"/>
            </w:pPr>
          </w:p>
        </w:tc>
        <w:tc>
          <w:tcPr>
            <w:tcW w:w="928" w:type="dxa"/>
          </w:tcPr>
          <w:p w14:paraId="026B18D5" w14:textId="77777777" w:rsidR="000B5220" w:rsidRPr="00872E30" w:rsidRDefault="000B5220" w:rsidP="00C27AFA"/>
        </w:tc>
        <w:tc>
          <w:tcPr>
            <w:tcW w:w="5019" w:type="dxa"/>
          </w:tcPr>
          <w:p w14:paraId="61A4531B" w14:textId="77777777" w:rsidR="000B5220" w:rsidRPr="00872E30" w:rsidRDefault="000B5220" w:rsidP="00C27AFA">
            <w:pPr>
              <w:rPr>
                <w:b/>
                <w:bCs/>
                <w:i/>
                <w:iCs/>
              </w:rPr>
            </w:pPr>
          </w:p>
        </w:tc>
        <w:tc>
          <w:tcPr>
            <w:tcW w:w="3330" w:type="dxa"/>
          </w:tcPr>
          <w:p w14:paraId="5EA0D64B" w14:textId="58A79318" w:rsidR="000B5220" w:rsidRPr="00252E41" w:rsidRDefault="000B5220" w:rsidP="00C27AFA">
            <w:proofErr w:type="spellStart"/>
            <w:r w:rsidRPr="00872E30">
              <w:rPr>
                <w:color w:val="C00000"/>
              </w:rPr>
              <w:t>Perusall</w:t>
            </w:r>
            <w:proofErr w:type="spellEnd"/>
            <w:r w:rsidRPr="00872E30">
              <w:rPr>
                <w:color w:val="C00000"/>
              </w:rPr>
              <w:t xml:space="preserve"> entries due each week before class.</w:t>
            </w:r>
          </w:p>
        </w:tc>
      </w:tr>
      <w:tr w:rsidR="000B5220" w:rsidRPr="00872E30" w14:paraId="7F252A9A" w14:textId="77777777" w:rsidTr="000B5220">
        <w:trPr>
          <w:cantSplit/>
        </w:trPr>
        <w:tc>
          <w:tcPr>
            <w:tcW w:w="528" w:type="dxa"/>
          </w:tcPr>
          <w:p w14:paraId="2B11E4C5" w14:textId="46D9BE68" w:rsidR="000B5220" w:rsidRPr="00252E41" w:rsidRDefault="000B5220" w:rsidP="005E0739">
            <w:pPr>
              <w:jc w:val="center"/>
            </w:pPr>
            <w:r w:rsidRPr="00872E30">
              <w:t>1</w:t>
            </w:r>
          </w:p>
        </w:tc>
        <w:tc>
          <w:tcPr>
            <w:tcW w:w="928" w:type="dxa"/>
          </w:tcPr>
          <w:p w14:paraId="40449C64" w14:textId="5E2F149E" w:rsidR="000B5220" w:rsidRPr="00252E41" w:rsidRDefault="000B5220" w:rsidP="00C27AFA">
            <w:r>
              <w:t>8/2</w:t>
            </w:r>
            <w:r w:rsidR="00B00200">
              <w:t>0</w:t>
            </w:r>
          </w:p>
        </w:tc>
        <w:tc>
          <w:tcPr>
            <w:tcW w:w="5019" w:type="dxa"/>
          </w:tcPr>
          <w:p w14:paraId="233086AA" w14:textId="6AC81671" w:rsidR="000B5220" w:rsidRPr="00252E41" w:rsidRDefault="000B5220" w:rsidP="00C27AFA">
            <w:r w:rsidRPr="00872E30">
              <w:rPr>
                <w:b/>
                <w:bCs/>
                <w:i/>
                <w:iCs/>
              </w:rPr>
              <w:t xml:space="preserve">Introduction: </w:t>
            </w:r>
            <w:r w:rsidRPr="00872E30">
              <w:rPr>
                <w:b/>
                <w:bCs/>
                <w:i/>
                <w:iCs/>
              </w:rPr>
              <w:br/>
              <w:t>We are biased</w:t>
            </w:r>
            <w:r w:rsidRPr="00872E30">
              <w:br/>
              <w:t>Introduction to bias and political partisanship on natural resources issues</w:t>
            </w:r>
          </w:p>
        </w:tc>
        <w:tc>
          <w:tcPr>
            <w:tcW w:w="3330" w:type="dxa"/>
          </w:tcPr>
          <w:p w14:paraId="149A5114" w14:textId="77777777" w:rsidR="000B5220" w:rsidRPr="00252E41" w:rsidRDefault="000B5220" w:rsidP="00C27AFA"/>
        </w:tc>
      </w:tr>
      <w:tr w:rsidR="000B5220" w:rsidRPr="00872E30" w14:paraId="2C6BD548" w14:textId="77777777" w:rsidTr="000B5220">
        <w:trPr>
          <w:cantSplit/>
        </w:trPr>
        <w:tc>
          <w:tcPr>
            <w:tcW w:w="528" w:type="dxa"/>
          </w:tcPr>
          <w:p w14:paraId="6135456A" w14:textId="2A6A6390" w:rsidR="000B5220" w:rsidRPr="00252E41" w:rsidRDefault="000B5220" w:rsidP="005E0739">
            <w:pPr>
              <w:jc w:val="center"/>
            </w:pPr>
            <w:r w:rsidRPr="00872E30">
              <w:t>2</w:t>
            </w:r>
          </w:p>
        </w:tc>
        <w:tc>
          <w:tcPr>
            <w:tcW w:w="928" w:type="dxa"/>
          </w:tcPr>
          <w:p w14:paraId="4FE05AF1" w14:textId="01559E9D" w:rsidR="000B5220" w:rsidRPr="00252E41" w:rsidRDefault="00B00200" w:rsidP="00C27AFA">
            <w:r>
              <w:t>8/27</w:t>
            </w:r>
          </w:p>
        </w:tc>
        <w:tc>
          <w:tcPr>
            <w:tcW w:w="5019" w:type="dxa"/>
          </w:tcPr>
          <w:p w14:paraId="3376995E" w14:textId="358DABF7" w:rsidR="000B5220" w:rsidRPr="00252E41" w:rsidRDefault="000B5220" w:rsidP="00713E2F">
            <w:pPr>
              <w:rPr>
                <w:b/>
                <w:bCs/>
                <w:i/>
                <w:iCs/>
              </w:rPr>
            </w:pPr>
            <w:r w:rsidRPr="00872E30">
              <w:rPr>
                <w:b/>
                <w:bCs/>
                <w:i/>
                <w:iCs/>
              </w:rPr>
              <w:t>We have different value priorities</w:t>
            </w:r>
          </w:p>
          <w:p w14:paraId="6D0DB946" w14:textId="3E3AAF36" w:rsidR="000B5220" w:rsidRPr="00252E41" w:rsidRDefault="000B5220" w:rsidP="00713E2F">
            <w:r w:rsidRPr="00872E30">
              <w:t>Moral foundations and cultural cognition</w:t>
            </w:r>
          </w:p>
        </w:tc>
        <w:tc>
          <w:tcPr>
            <w:tcW w:w="3330" w:type="dxa"/>
          </w:tcPr>
          <w:p w14:paraId="3389115C" w14:textId="76AB0AC2" w:rsidR="000B5220" w:rsidRPr="00252E41" w:rsidRDefault="000B5220" w:rsidP="00C27AFA"/>
        </w:tc>
      </w:tr>
      <w:tr w:rsidR="000B5220" w:rsidRPr="00872E30" w14:paraId="2D6A79C4" w14:textId="77777777" w:rsidTr="000B5220">
        <w:trPr>
          <w:cantSplit/>
        </w:trPr>
        <w:tc>
          <w:tcPr>
            <w:tcW w:w="528" w:type="dxa"/>
          </w:tcPr>
          <w:p w14:paraId="5DE85674" w14:textId="4E7A659A" w:rsidR="000B5220" w:rsidRPr="00252E41" w:rsidRDefault="000B5220" w:rsidP="005E0739">
            <w:pPr>
              <w:jc w:val="center"/>
            </w:pPr>
            <w:r w:rsidRPr="00872E30">
              <w:t>3</w:t>
            </w:r>
          </w:p>
        </w:tc>
        <w:tc>
          <w:tcPr>
            <w:tcW w:w="928" w:type="dxa"/>
          </w:tcPr>
          <w:p w14:paraId="3FE20359" w14:textId="34D2150E" w:rsidR="000B5220" w:rsidRPr="00252E41" w:rsidRDefault="000B5220" w:rsidP="00C27AFA">
            <w:r>
              <w:t>9/</w:t>
            </w:r>
            <w:r w:rsidR="00ED7AFD">
              <w:t>3</w:t>
            </w:r>
          </w:p>
        </w:tc>
        <w:tc>
          <w:tcPr>
            <w:tcW w:w="5019" w:type="dxa"/>
          </w:tcPr>
          <w:p w14:paraId="26880A39" w14:textId="1885E15F" w:rsidR="000B5220" w:rsidRPr="00252E41" w:rsidRDefault="000B5220" w:rsidP="00C27AFA">
            <w:pPr>
              <w:rPr>
                <w:b/>
                <w:bCs/>
                <w:i/>
                <w:iCs/>
              </w:rPr>
            </w:pPr>
            <w:r w:rsidRPr="00872E30">
              <w:rPr>
                <w:b/>
                <w:bCs/>
                <w:i/>
                <w:iCs/>
              </w:rPr>
              <w:t>We look for cues</w:t>
            </w:r>
          </w:p>
          <w:p w14:paraId="5CA73F27" w14:textId="49671B8A" w:rsidR="000B5220" w:rsidRPr="00252E41" w:rsidRDefault="000B5220" w:rsidP="00C27AFA">
            <w:r w:rsidRPr="00872E30">
              <w:t>Ordinary science intelligence and social cues</w:t>
            </w:r>
          </w:p>
        </w:tc>
        <w:tc>
          <w:tcPr>
            <w:tcW w:w="3330" w:type="dxa"/>
          </w:tcPr>
          <w:p w14:paraId="731CA81E" w14:textId="5F3E9704" w:rsidR="000B5220" w:rsidRPr="00252E41" w:rsidRDefault="00970699" w:rsidP="00C27AFA">
            <w:r>
              <w:t xml:space="preserve">Brief </w:t>
            </w:r>
            <w:r w:rsidR="003A71B1">
              <w:t xml:space="preserve">student </w:t>
            </w:r>
            <w:r>
              <w:t>proposal pitches</w:t>
            </w:r>
          </w:p>
        </w:tc>
      </w:tr>
      <w:tr w:rsidR="000B5220" w:rsidRPr="00872E30" w14:paraId="41647219" w14:textId="77777777" w:rsidTr="000B5220">
        <w:trPr>
          <w:cantSplit/>
        </w:trPr>
        <w:tc>
          <w:tcPr>
            <w:tcW w:w="528" w:type="dxa"/>
          </w:tcPr>
          <w:p w14:paraId="6290D90C" w14:textId="48989A10" w:rsidR="000B5220" w:rsidRPr="00252E41" w:rsidRDefault="000B5220" w:rsidP="005E0739">
            <w:pPr>
              <w:jc w:val="center"/>
            </w:pPr>
            <w:r w:rsidRPr="00872E30">
              <w:t>4</w:t>
            </w:r>
          </w:p>
        </w:tc>
        <w:tc>
          <w:tcPr>
            <w:tcW w:w="928" w:type="dxa"/>
          </w:tcPr>
          <w:p w14:paraId="68CE1936" w14:textId="63F2744C" w:rsidR="000B5220" w:rsidRPr="00252E41" w:rsidRDefault="000B5220" w:rsidP="00C27AFA">
            <w:r>
              <w:t>9/1</w:t>
            </w:r>
            <w:r w:rsidR="00ED7AFD">
              <w:t>0</w:t>
            </w:r>
          </w:p>
        </w:tc>
        <w:tc>
          <w:tcPr>
            <w:tcW w:w="5019" w:type="dxa"/>
          </w:tcPr>
          <w:p w14:paraId="5E7C03F1" w14:textId="6F28441C" w:rsidR="000B5220" w:rsidRPr="00252E41" w:rsidRDefault="000B5220" w:rsidP="00C27AFA">
            <w:pPr>
              <w:rPr>
                <w:b/>
                <w:bCs/>
                <w:i/>
                <w:iCs/>
              </w:rPr>
            </w:pPr>
            <w:r w:rsidRPr="00872E30">
              <w:rPr>
                <w:b/>
                <w:bCs/>
                <w:i/>
                <w:iCs/>
              </w:rPr>
              <w:t>We think differently</w:t>
            </w:r>
          </w:p>
          <w:p w14:paraId="45AA119F" w14:textId="22305AD9" w:rsidR="000B5220" w:rsidRPr="00252E41" w:rsidRDefault="000B5220" w:rsidP="00DB66D7">
            <w:r w:rsidRPr="00872E30">
              <w:t>Mental models; co-orientation model; cultural domain analysis</w:t>
            </w:r>
          </w:p>
        </w:tc>
        <w:tc>
          <w:tcPr>
            <w:tcW w:w="3330" w:type="dxa"/>
          </w:tcPr>
          <w:p w14:paraId="585EA172" w14:textId="1F3C6C56" w:rsidR="000B5220" w:rsidRPr="00252E41" w:rsidRDefault="000B5220" w:rsidP="00C27AFA"/>
        </w:tc>
      </w:tr>
      <w:tr w:rsidR="000B5220" w:rsidRPr="00872E30" w14:paraId="4B300BA0" w14:textId="77777777" w:rsidTr="000B5220">
        <w:trPr>
          <w:cantSplit/>
        </w:trPr>
        <w:tc>
          <w:tcPr>
            <w:tcW w:w="528" w:type="dxa"/>
          </w:tcPr>
          <w:p w14:paraId="5975689E" w14:textId="215B3ED7" w:rsidR="000B5220" w:rsidRPr="00252E41" w:rsidRDefault="000B5220" w:rsidP="005E0739">
            <w:pPr>
              <w:jc w:val="center"/>
            </w:pPr>
            <w:r w:rsidRPr="00872E30">
              <w:t>5</w:t>
            </w:r>
          </w:p>
        </w:tc>
        <w:tc>
          <w:tcPr>
            <w:tcW w:w="928" w:type="dxa"/>
          </w:tcPr>
          <w:p w14:paraId="457A0133" w14:textId="328CE6D5" w:rsidR="000B5220" w:rsidRPr="00252E41" w:rsidRDefault="000B5220" w:rsidP="00C27AFA">
            <w:r>
              <w:t>9/</w:t>
            </w:r>
            <w:r w:rsidR="00ED7AFD">
              <w:t>17</w:t>
            </w:r>
          </w:p>
        </w:tc>
        <w:tc>
          <w:tcPr>
            <w:tcW w:w="5019" w:type="dxa"/>
          </w:tcPr>
          <w:p w14:paraId="05337DFE" w14:textId="77777777" w:rsidR="00EF4614" w:rsidRPr="00053F45" w:rsidRDefault="00EF4614" w:rsidP="00EF4614">
            <w:pPr>
              <w:rPr>
                <w:i/>
                <w:iCs/>
              </w:rPr>
            </w:pPr>
            <w:r w:rsidRPr="00053F45">
              <w:rPr>
                <w:i/>
                <w:iCs/>
              </w:rPr>
              <w:t>Student presentations</w:t>
            </w:r>
          </w:p>
          <w:p w14:paraId="748CCC61" w14:textId="71F3D656" w:rsidR="000B5220" w:rsidRPr="00252E41" w:rsidRDefault="000B5220" w:rsidP="00713E2F"/>
        </w:tc>
        <w:tc>
          <w:tcPr>
            <w:tcW w:w="3330" w:type="dxa"/>
          </w:tcPr>
          <w:p w14:paraId="308075B2" w14:textId="6E097015" w:rsidR="00802B06" w:rsidRPr="00252E41" w:rsidRDefault="003A71B1" w:rsidP="000A7B9D">
            <w:r w:rsidRPr="003A71B1">
              <w:t xml:space="preserve">Student </w:t>
            </w:r>
            <w:r w:rsidR="005E6094">
              <w:t xml:space="preserve">oral </w:t>
            </w:r>
            <w:r w:rsidRPr="003A71B1">
              <w:t xml:space="preserve">report: Case study </w:t>
            </w:r>
            <w:r w:rsidR="000A7B9D">
              <w:t>the</w:t>
            </w:r>
            <w:r w:rsidR="00802B06" w:rsidRPr="003A71B1">
              <w:t xml:space="preserve">ories and </w:t>
            </w:r>
            <w:r w:rsidR="00781F35">
              <w:t>i</w:t>
            </w:r>
            <w:r w:rsidR="00802B06" w:rsidRPr="003A71B1">
              <w:t>nterventions part 1</w:t>
            </w:r>
          </w:p>
        </w:tc>
      </w:tr>
      <w:tr w:rsidR="000B5220" w:rsidRPr="00872E30" w14:paraId="5334D563" w14:textId="77777777" w:rsidTr="000B5220">
        <w:trPr>
          <w:cantSplit/>
        </w:trPr>
        <w:tc>
          <w:tcPr>
            <w:tcW w:w="528" w:type="dxa"/>
          </w:tcPr>
          <w:p w14:paraId="67C8B868" w14:textId="44868E94" w:rsidR="000B5220" w:rsidRPr="00252E41" w:rsidRDefault="000B5220" w:rsidP="005E0739">
            <w:pPr>
              <w:jc w:val="center"/>
            </w:pPr>
            <w:r w:rsidRPr="00872E30">
              <w:t>6</w:t>
            </w:r>
          </w:p>
        </w:tc>
        <w:tc>
          <w:tcPr>
            <w:tcW w:w="928" w:type="dxa"/>
          </w:tcPr>
          <w:p w14:paraId="68996CDD" w14:textId="7D224C89" w:rsidR="000B5220" w:rsidRPr="00252E41" w:rsidRDefault="00ED7AFD" w:rsidP="00C27AFA">
            <w:r>
              <w:t>9/24</w:t>
            </w:r>
          </w:p>
        </w:tc>
        <w:tc>
          <w:tcPr>
            <w:tcW w:w="5019" w:type="dxa"/>
          </w:tcPr>
          <w:p w14:paraId="32728B31" w14:textId="77777777" w:rsidR="00B159C6" w:rsidRPr="00252E41" w:rsidRDefault="00B159C6" w:rsidP="00B159C6">
            <w:pPr>
              <w:rPr>
                <w:b/>
                <w:bCs/>
                <w:i/>
                <w:iCs/>
              </w:rPr>
            </w:pPr>
            <w:r w:rsidRPr="00872E30">
              <w:rPr>
                <w:b/>
                <w:bCs/>
                <w:i/>
                <w:iCs/>
              </w:rPr>
              <w:t>We have different land ethics</w:t>
            </w:r>
          </w:p>
          <w:p w14:paraId="60F25398" w14:textId="6F52AAA5" w:rsidR="000B5220" w:rsidRPr="00252E41" w:rsidRDefault="00B159C6" w:rsidP="00B159C6">
            <w:r w:rsidRPr="00872E30">
              <w:t>Diversity of human-nature value systems</w:t>
            </w:r>
          </w:p>
        </w:tc>
        <w:tc>
          <w:tcPr>
            <w:tcW w:w="3330" w:type="dxa"/>
          </w:tcPr>
          <w:p w14:paraId="33E0D414" w14:textId="487DBDE7" w:rsidR="000B5220" w:rsidRPr="00252E41" w:rsidRDefault="00357D29" w:rsidP="00C27AFA">
            <w:r>
              <w:t>W</w:t>
            </w:r>
            <w:r w:rsidR="005E6094">
              <w:t>ritten report</w:t>
            </w:r>
          </w:p>
        </w:tc>
      </w:tr>
      <w:tr w:rsidR="000B5220" w:rsidRPr="00872E30" w14:paraId="1C300DE5" w14:textId="77777777" w:rsidTr="000B5220">
        <w:trPr>
          <w:cantSplit/>
        </w:trPr>
        <w:tc>
          <w:tcPr>
            <w:tcW w:w="528" w:type="dxa"/>
          </w:tcPr>
          <w:p w14:paraId="2360398C" w14:textId="7918A0C0" w:rsidR="000B5220" w:rsidRPr="00252E41" w:rsidRDefault="000B5220" w:rsidP="005E0739">
            <w:pPr>
              <w:jc w:val="center"/>
            </w:pPr>
            <w:r w:rsidRPr="00872E30">
              <w:t>7</w:t>
            </w:r>
          </w:p>
        </w:tc>
        <w:tc>
          <w:tcPr>
            <w:tcW w:w="928" w:type="dxa"/>
          </w:tcPr>
          <w:p w14:paraId="39E18FA3" w14:textId="32E1C255" w:rsidR="000B5220" w:rsidRPr="00252E41" w:rsidRDefault="000B5220" w:rsidP="00C27AFA">
            <w:r>
              <w:t>10/</w:t>
            </w:r>
            <w:r w:rsidR="00ED7AFD">
              <w:t>1</w:t>
            </w:r>
          </w:p>
        </w:tc>
        <w:tc>
          <w:tcPr>
            <w:tcW w:w="5019" w:type="dxa"/>
          </w:tcPr>
          <w:p w14:paraId="67BBB58B" w14:textId="77777777" w:rsidR="00B159C6" w:rsidRPr="00252E41" w:rsidRDefault="00B159C6" w:rsidP="00B159C6">
            <w:pPr>
              <w:rPr>
                <w:b/>
                <w:bCs/>
                <w:i/>
                <w:iCs/>
              </w:rPr>
            </w:pPr>
            <w:r w:rsidRPr="00872E30">
              <w:rPr>
                <w:b/>
                <w:bCs/>
                <w:i/>
                <w:iCs/>
              </w:rPr>
              <w:t xml:space="preserve">We are </w:t>
            </w:r>
            <w:proofErr w:type="spellStart"/>
            <w:r w:rsidRPr="00872E30">
              <w:rPr>
                <w:b/>
                <w:bCs/>
                <w:i/>
                <w:iCs/>
              </w:rPr>
              <w:t>groupish</w:t>
            </w:r>
            <w:proofErr w:type="spellEnd"/>
          </w:p>
          <w:p w14:paraId="1D503FFA" w14:textId="2730957A" w:rsidR="000B5220" w:rsidRPr="00252E41" w:rsidRDefault="00B159C6" w:rsidP="00B159C6">
            <w:r w:rsidRPr="00872E30">
              <w:t>Social identity approach</w:t>
            </w:r>
          </w:p>
        </w:tc>
        <w:tc>
          <w:tcPr>
            <w:tcW w:w="3330" w:type="dxa"/>
          </w:tcPr>
          <w:p w14:paraId="32DB253B" w14:textId="65366D46" w:rsidR="000B5220" w:rsidRPr="00252E41" w:rsidRDefault="000B5220" w:rsidP="00C27AFA"/>
        </w:tc>
      </w:tr>
      <w:tr w:rsidR="000B5220" w:rsidRPr="00872E30" w14:paraId="2DDCD97D" w14:textId="77777777" w:rsidTr="000B5220">
        <w:trPr>
          <w:cantSplit/>
        </w:trPr>
        <w:tc>
          <w:tcPr>
            <w:tcW w:w="528" w:type="dxa"/>
          </w:tcPr>
          <w:p w14:paraId="53DBBFE3" w14:textId="2D617B8D" w:rsidR="000B5220" w:rsidRPr="00872E30" w:rsidRDefault="000B5220" w:rsidP="00CA7F9F">
            <w:pPr>
              <w:jc w:val="center"/>
            </w:pPr>
            <w:r w:rsidRPr="00872E30">
              <w:t>8</w:t>
            </w:r>
          </w:p>
        </w:tc>
        <w:tc>
          <w:tcPr>
            <w:tcW w:w="928" w:type="dxa"/>
          </w:tcPr>
          <w:p w14:paraId="305D4F8B" w14:textId="419261A0" w:rsidR="0016186A" w:rsidRPr="00F327B1" w:rsidRDefault="000B5220" w:rsidP="00CA7F9F">
            <w:r>
              <w:t>10/</w:t>
            </w:r>
            <w:r w:rsidR="00700C4B">
              <w:t>8</w:t>
            </w:r>
          </w:p>
        </w:tc>
        <w:tc>
          <w:tcPr>
            <w:tcW w:w="5019" w:type="dxa"/>
          </w:tcPr>
          <w:p w14:paraId="0620DAA5" w14:textId="77777777" w:rsidR="00B47F81" w:rsidRPr="00252E41" w:rsidRDefault="00B47F81" w:rsidP="00B47F81">
            <w:pPr>
              <w:rPr>
                <w:b/>
                <w:bCs/>
                <w:i/>
                <w:iCs/>
              </w:rPr>
            </w:pPr>
            <w:r w:rsidRPr="00872E30">
              <w:rPr>
                <w:b/>
                <w:bCs/>
                <w:i/>
                <w:iCs/>
              </w:rPr>
              <w:t>We like simple stories</w:t>
            </w:r>
          </w:p>
          <w:p w14:paraId="06C14671" w14:textId="35709D9F" w:rsidR="00F27E8E" w:rsidRPr="00221BF3" w:rsidRDefault="00B47F81" w:rsidP="00B47F81">
            <w:pPr>
              <w:rPr>
                <w:i/>
                <w:iCs/>
              </w:rPr>
            </w:pPr>
            <w:r w:rsidRPr="00872E30">
              <w:t>Narratives simplify complex issues</w:t>
            </w:r>
          </w:p>
        </w:tc>
        <w:tc>
          <w:tcPr>
            <w:tcW w:w="3330" w:type="dxa"/>
          </w:tcPr>
          <w:p w14:paraId="10F1F8A7" w14:textId="41C41AFF" w:rsidR="000B5220" w:rsidRPr="00872E30" w:rsidRDefault="000B5220"/>
        </w:tc>
      </w:tr>
      <w:tr w:rsidR="006671C3" w:rsidRPr="00872E30" w14:paraId="2E526FE7" w14:textId="77777777" w:rsidTr="000B5220">
        <w:trPr>
          <w:cantSplit/>
        </w:trPr>
        <w:tc>
          <w:tcPr>
            <w:tcW w:w="528" w:type="dxa"/>
          </w:tcPr>
          <w:p w14:paraId="4DA64D98" w14:textId="60B15198" w:rsidR="006671C3" w:rsidRPr="00252E41" w:rsidRDefault="006671C3" w:rsidP="006671C3">
            <w:pPr>
              <w:jc w:val="center"/>
            </w:pPr>
            <w:r w:rsidRPr="00872E30">
              <w:t>9</w:t>
            </w:r>
          </w:p>
        </w:tc>
        <w:tc>
          <w:tcPr>
            <w:tcW w:w="928" w:type="dxa"/>
          </w:tcPr>
          <w:p w14:paraId="63060978" w14:textId="4D9BDA66" w:rsidR="006671C3" w:rsidRDefault="006671C3" w:rsidP="006671C3">
            <w:r>
              <w:t>10/</w:t>
            </w:r>
            <w:r w:rsidR="00700C4B">
              <w:t>15</w:t>
            </w:r>
          </w:p>
          <w:p w14:paraId="1C4A61F2" w14:textId="77777777" w:rsidR="006671C3" w:rsidRDefault="006671C3" w:rsidP="006671C3"/>
          <w:p w14:paraId="624A6B25" w14:textId="103DB5B1" w:rsidR="006671C3" w:rsidRPr="00252E41" w:rsidRDefault="006671C3" w:rsidP="006671C3"/>
        </w:tc>
        <w:tc>
          <w:tcPr>
            <w:tcW w:w="5019" w:type="dxa"/>
          </w:tcPr>
          <w:p w14:paraId="0BA53FC1" w14:textId="4127EDF8" w:rsidR="00B47F81" w:rsidRPr="001F46DB" w:rsidRDefault="00B47F81" w:rsidP="00B47F81">
            <w:pPr>
              <w:rPr>
                <w:b/>
                <w:bCs/>
                <w:i/>
                <w:iCs/>
              </w:rPr>
            </w:pPr>
            <w:r w:rsidRPr="001F46DB">
              <w:rPr>
                <w:b/>
                <w:bCs/>
                <w:i/>
                <w:iCs/>
              </w:rPr>
              <w:t>We have lazy brains</w:t>
            </w:r>
          </w:p>
          <w:p w14:paraId="5BFD6758" w14:textId="5D8B935F" w:rsidR="006671C3" w:rsidRPr="00252E41" w:rsidRDefault="00B47F81" w:rsidP="00B47F81">
            <w:r w:rsidRPr="001F46DB">
              <w:t>Decision heuristics</w:t>
            </w:r>
          </w:p>
        </w:tc>
        <w:tc>
          <w:tcPr>
            <w:tcW w:w="3330" w:type="dxa"/>
          </w:tcPr>
          <w:p w14:paraId="7D89E63B" w14:textId="68F25417" w:rsidR="006671C3" w:rsidRPr="00252E41" w:rsidRDefault="006671C3" w:rsidP="006671C3"/>
        </w:tc>
      </w:tr>
      <w:tr w:rsidR="006671C3" w:rsidRPr="00872E30" w14:paraId="094CF115" w14:textId="77777777" w:rsidTr="000B5220">
        <w:trPr>
          <w:cantSplit/>
        </w:trPr>
        <w:tc>
          <w:tcPr>
            <w:tcW w:w="528" w:type="dxa"/>
          </w:tcPr>
          <w:p w14:paraId="2BD31835" w14:textId="3392D4AA" w:rsidR="006671C3" w:rsidRPr="00872E30" w:rsidRDefault="006671C3" w:rsidP="006671C3">
            <w:pPr>
              <w:jc w:val="center"/>
            </w:pPr>
            <w:r>
              <w:t>10</w:t>
            </w:r>
          </w:p>
        </w:tc>
        <w:tc>
          <w:tcPr>
            <w:tcW w:w="928" w:type="dxa"/>
          </w:tcPr>
          <w:p w14:paraId="5C5482A4" w14:textId="2D5413AE" w:rsidR="006671C3" w:rsidRDefault="006671C3" w:rsidP="006671C3">
            <w:r>
              <w:t>10/</w:t>
            </w:r>
            <w:r w:rsidR="00700C4B">
              <w:t>22</w:t>
            </w:r>
          </w:p>
        </w:tc>
        <w:tc>
          <w:tcPr>
            <w:tcW w:w="5019" w:type="dxa"/>
          </w:tcPr>
          <w:p w14:paraId="0C1BEC73" w14:textId="77777777" w:rsidR="006671C3" w:rsidRPr="00053F45" w:rsidRDefault="006671C3" w:rsidP="006671C3">
            <w:pPr>
              <w:rPr>
                <w:i/>
                <w:iCs/>
              </w:rPr>
            </w:pPr>
            <w:r w:rsidRPr="003F0CBF">
              <w:t xml:space="preserve"> </w:t>
            </w:r>
            <w:r w:rsidRPr="00053F45">
              <w:rPr>
                <w:i/>
                <w:iCs/>
              </w:rPr>
              <w:t>Student presentations</w:t>
            </w:r>
          </w:p>
          <w:p w14:paraId="3124C22B" w14:textId="2A63B882" w:rsidR="006671C3" w:rsidRPr="0031205E" w:rsidRDefault="006671C3" w:rsidP="006671C3">
            <w:pPr>
              <w:rPr>
                <w:b/>
                <w:bCs/>
                <w:i/>
                <w:iCs/>
              </w:rPr>
            </w:pPr>
          </w:p>
        </w:tc>
        <w:tc>
          <w:tcPr>
            <w:tcW w:w="3330" w:type="dxa"/>
          </w:tcPr>
          <w:p w14:paraId="359EB72F" w14:textId="77777777" w:rsidR="00802B06" w:rsidRDefault="00802B06" w:rsidP="00802B06">
            <w:r w:rsidRPr="003A71B1">
              <w:t>Student report: Cultural domain analysis</w:t>
            </w:r>
            <w:r w:rsidRPr="004701CD">
              <w:t xml:space="preserve"> </w:t>
            </w:r>
          </w:p>
          <w:p w14:paraId="433CA9DA" w14:textId="5E0EE970" w:rsidR="006671C3" w:rsidRPr="001F46DB" w:rsidRDefault="006671C3" w:rsidP="006671C3"/>
        </w:tc>
      </w:tr>
      <w:tr w:rsidR="006671C3" w:rsidRPr="00872E30" w14:paraId="1CB15A32" w14:textId="77777777" w:rsidTr="000B5220">
        <w:trPr>
          <w:cantSplit/>
        </w:trPr>
        <w:tc>
          <w:tcPr>
            <w:tcW w:w="528" w:type="dxa"/>
          </w:tcPr>
          <w:p w14:paraId="1B6F3EC5" w14:textId="00183BAD" w:rsidR="006671C3" w:rsidRPr="00872E30" w:rsidRDefault="006671C3" w:rsidP="006671C3">
            <w:pPr>
              <w:jc w:val="center"/>
            </w:pPr>
            <w:r>
              <w:t>11</w:t>
            </w:r>
          </w:p>
        </w:tc>
        <w:tc>
          <w:tcPr>
            <w:tcW w:w="928" w:type="dxa"/>
          </w:tcPr>
          <w:p w14:paraId="15C7BD52" w14:textId="59C114E1" w:rsidR="006671C3" w:rsidRPr="00F327B1" w:rsidRDefault="00700C4B" w:rsidP="006671C3">
            <w:r>
              <w:t>10/29</w:t>
            </w:r>
          </w:p>
        </w:tc>
        <w:tc>
          <w:tcPr>
            <w:tcW w:w="5019" w:type="dxa"/>
          </w:tcPr>
          <w:p w14:paraId="42C60ECF" w14:textId="77777777" w:rsidR="00A5067B" w:rsidRPr="00383CB8" w:rsidRDefault="00A5067B" w:rsidP="00A5067B">
            <w:pPr>
              <w:rPr>
                <w:b/>
                <w:bCs/>
                <w:i/>
                <w:iCs/>
              </w:rPr>
            </w:pPr>
            <w:r w:rsidRPr="00383CB8">
              <w:rPr>
                <w:b/>
                <w:bCs/>
                <w:i/>
                <w:iCs/>
              </w:rPr>
              <w:t>We are instinct machines</w:t>
            </w:r>
          </w:p>
          <w:p w14:paraId="2AB6BDA5" w14:textId="4332F916" w:rsidR="00F27E8E" w:rsidRPr="002C5C88" w:rsidRDefault="00A5067B" w:rsidP="00A5067B">
            <w:pPr>
              <w:rPr>
                <w:i/>
                <w:iCs/>
              </w:rPr>
            </w:pPr>
            <w:r w:rsidRPr="00383CB8">
              <w:t>Evolutionary psychology</w:t>
            </w:r>
          </w:p>
        </w:tc>
        <w:tc>
          <w:tcPr>
            <w:tcW w:w="3330" w:type="dxa"/>
          </w:tcPr>
          <w:p w14:paraId="7E8A5A26" w14:textId="4920C67A" w:rsidR="006671C3" w:rsidRPr="001F46DB" w:rsidRDefault="00357D29" w:rsidP="006671C3">
            <w:r>
              <w:t>Written report</w:t>
            </w:r>
          </w:p>
        </w:tc>
      </w:tr>
      <w:tr w:rsidR="00C90825" w:rsidRPr="00872E30" w14:paraId="35B47620" w14:textId="77777777" w:rsidTr="000B5220">
        <w:trPr>
          <w:cantSplit/>
        </w:trPr>
        <w:tc>
          <w:tcPr>
            <w:tcW w:w="528" w:type="dxa"/>
          </w:tcPr>
          <w:p w14:paraId="1E8C8DC9" w14:textId="24856E2B" w:rsidR="00C90825" w:rsidRPr="00252E41" w:rsidRDefault="00C90825" w:rsidP="00C90825">
            <w:pPr>
              <w:jc w:val="center"/>
            </w:pPr>
            <w:r w:rsidRPr="00872E30">
              <w:t>1</w:t>
            </w:r>
            <w:r>
              <w:t>2</w:t>
            </w:r>
          </w:p>
        </w:tc>
        <w:tc>
          <w:tcPr>
            <w:tcW w:w="928" w:type="dxa"/>
          </w:tcPr>
          <w:p w14:paraId="1E6056A0" w14:textId="7B1C0668" w:rsidR="00C90825" w:rsidRPr="00252E41" w:rsidRDefault="00C90825" w:rsidP="00C90825">
            <w:r>
              <w:t>11/5</w:t>
            </w:r>
          </w:p>
        </w:tc>
        <w:tc>
          <w:tcPr>
            <w:tcW w:w="5019" w:type="dxa"/>
          </w:tcPr>
          <w:p w14:paraId="3748FDF4" w14:textId="77777777" w:rsidR="00C90825" w:rsidRDefault="00C90825" w:rsidP="00C90825">
            <w:pPr>
              <w:rPr>
                <w:b/>
                <w:bCs/>
                <w:i/>
                <w:iCs/>
              </w:rPr>
            </w:pPr>
            <w:r w:rsidRPr="0031205E">
              <w:rPr>
                <w:b/>
                <w:bCs/>
                <w:i/>
                <w:iCs/>
              </w:rPr>
              <w:t xml:space="preserve">Communicators are </w:t>
            </w:r>
            <w:r>
              <w:rPr>
                <w:b/>
                <w:bCs/>
                <w:i/>
                <w:iCs/>
              </w:rPr>
              <w:t>powerful</w:t>
            </w:r>
          </w:p>
          <w:p w14:paraId="70E7F7A9" w14:textId="06435462" w:rsidR="00C90825" w:rsidRPr="00252E41" w:rsidRDefault="00C90825" w:rsidP="00C90825">
            <w:r w:rsidRPr="00EF0B1D">
              <w:t>Framing</w:t>
            </w:r>
          </w:p>
        </w:tc>
        <w:tc>
          <w:tcPr>
            <w:tcW w:w="3330" w:type="dxa"/>
          </w:tcPr>
          <w:p w14:paraId="590BD342" w14:textId="4277F531" w:rsidR="00C90825" w:rsidRPr="00252E41" w:rsidRDefault="00C90825" w:rsidP="00C90825"/>
        </w:tc>
      </w:tr>
      <w:tr w:rsidR="00C90825" w:rsidRPr="00872E30" w14:paraId="429BF5B7" w14:textId="77777777" w:rsidTr="000B5220">
        <w:trPr>
          <w:cantSplit/>
        </w:trPr>
        <w:tc>
          <w:tcPr>
            <w:tcW w:w="528" w:type="dxa"/>
          </w:tcPr>
          <w:p w14:paraId="7EB59DC2" w14:textId="0E0E4B1F" w:rsidR="00C90825" w:rsidRPr="00252E41" w:rsidRDefault="00C90825" w:rsidP="00C90825">
            <w:pPr>
              <w:jc w:val="center"/>
            </w:pPr>
            <w:r w:rsidRPr="00872E30">
              <w:t>1</w:t>
            </w:r>
            <w:r>
              <w:t>3</w:t>
            </w:r>
          </w:p>
        </w:tc>
        <w:tc>
          <w:tcPr>
            <w:tcW w:w="928" w:type="dxa"/>
          </w:tcPr>
          <w:p w14:paraId="3C3A0785" w14:textId="07521E97" w:rsidR="00C90825" w:rsidRPr="00252E41" w:rsidRDefault="00C90825" w:rsidP="00C90825">
            <w:r>
              <w:t>11/12</w:t>
            </w:r>
          </w:p>
        </w:tc>
        <w:tc>
          <w:tcPr>
            <w:tcW w:w="5019" w:type="dxa"/>
          </w:tcPr>
          <w:p w14:paraId="5064DE23" w14:textId="77777777" w:rsidR="00C90825" w:rsidRPr="00252E41" w:rsidRDefault="00C90825" w:rsidP="00C90825">
            <w:pPr>
              <w:rPr>
                <w:b/>
                <w:bCs/>
                <w:i/>
                <w:iCs/>
              </w:rPr>
            </w:pPr>
            <w:r>
              <w:rPr>
                <w:b/>
                <w:bCs/>
                <w:i/>
                <w:iCs/>
              </w:rPr>
              <w:t>W</w:t>
            </w:r>
            <w:r w:rsidRPr="00872E30">
              <w:rPr>
                <w:b/>
                <w:bCs/>
                <w:i/>
                <w:iCs/>
              </w:rPr>
              <w:t>ith great power comes great responsibility</w:t>
            </w:r>
          </w:p>
          <w:p w14:paraId="193F3ABC" w14:textId="48AAB76F" w:rsidR="00C90825" w:rsidRPr="00252E41" w:rsidRDefault="00C90825" w:rsidP="00C90825">
            <w:r>
              <w:t>S</w:t>
            </w:r>
            <w:r w:rsidRPr="00872E30">
              <w:t>cience communication ethics</w:t>
            </w:r>
          </w:p>
        </w:tc>
        <w:tc>
          <w:tcPr>
            <w:tcW w:w="3330" w:type="dxa"/>
          </w:tcPr>
          <w:p w14:paraId="5190FF38" w14:textId="7C103C7A" w:rsidR="00C90825" w:rsidRPr="00252E41" w:rsidRDefault="00C90825" w:rsidP="00C90825"/>
        </w:tc>
      </w:tr>
      <w:tr w:rsidR="00BD3893" w:rsidRPr="00872E30" w14:paraId="2122EBDC" w14:textId="77777777" w:rsidTr="000B5220">
        <w:trPr>
          <w:cantSplit/>
        </w:trPr>
        <w:tc>
          <w:tcPr>
            <w:tcW w:w="528" w:type="dxa"/>
          </w:tcPr>
          <w:p w14:paraId="510B0762" w14:textId="35F62910" w:rsidR="00BD3893" w:rsidRPr="00737A0F" w:rsidRDefault="00BD3893" w:rsidP="00BD3893">
            <w:pPr>
              <w:jc w:val="center"/>
            </w:pPr>
            <w:r w:rsidRPr="00737A0F">
              <w:t>14</w:t>
            </w:r>
          </w:p>
        </w:tc>
        <w:tc>
          <w:tcPr>
            <w:tcW w:w="928" w:type="dxa"/>
          </w:tcPr>
          <w:p w14:paraId="2F2715A4" w14:textId="75CA6EC6" w:rsidR="00BD3893" w:rsidRPr="00737A0F" w:rsidRDefault="00BD3893" w:rsidP="00BD3893">
            <w:r w:rsidRPr="00737A0F">
              <w:t>11/</w:t>
            </w:r>
            <w:r w:rsidR="00061390" w:rsidRPr="00737A0F">
              <w:t>1</w:t>
            </w:r>
            <w:r w:rsidR="00357BAD" w:rsidRPr="00737A0F">
              <w:t>9</w:t>
            </w:r>
          </w:p>
        </w:tc>
        <w:tc>
          <w:tcPr>
            <w:tcW w:w="5019" w:type="dxa"/>
          </w:tcPr>
          <w:p w14:paraId="097602A8" w14:textId="2C97EDBD" w:rsidR="00BD3893" w:rsidRPr="00C90825" w:rsidRDefault="00C90825" w:rsidP="00BD3893">
            <w:pPr>
              <w:rPr>
                <w:b/>
                <w:bCs/>
                <w:color w:val="FF0000"/>
              </w:rPr>
            </w:pPr>
            <w:r w:rsidRPr="00C90825">
              <w:rPr>
                <w:b/>
                <w:bCs/>
                <w:i/>
                <w:iCs/>
              </w:rPr>
              <w:t>Work time</w:t>
            </w:r>
            <w:r w:rsidR="009B3B93">
              <w:rPr>
                <w:b/>
                <w:bCs/>
                <w:i/>
                <w:iCs/>
              </w:rPr>
              <w:t>: Ethical perspectives</w:t>
            </w:r>
          </w:p>
        </w:tc>
        <w:tc>
          <w:tcPr>
            <w:tcW w:w="3330" w:type="dxa"/>
          </w:tcPr>
          <w:p w14:paraId="23D0ED0E" w14:textId="5B8824AE" w:rsidR="00BD3893" w:rsidRPr="001F46DB" w:rsidRDefault="0099426F" w:rsidP="00BD3893">
            <w:r>
              <w:t>Ethical perspective</w:t>
            </w:r>
          </w:p>
        </w:tc>
      </w:tr>
      <w:tr w:rsidR="00BD3893" w:rsidRPr="00872E30" w14:paraId="4ABDBE6D" w14:textId="77777777" w:rsidTr="000B5220">
        <w:trPr>
          <w:cantSplit/>
        </w:trPr>
        <w:tc>
          <w:tcPr>
            <w:tcW w:w="528" w:type="dxa"/>
          </w:tcPr>
          <w:p w14:paraId="74C0F828" w14:textId="278547DE" w:rsidR="00BD3893" w:rsidRPr="00872E30" w:rsidRDefault="00BD3893" w:rsidP="00BD3893">
            <w:pPr>
              <w:jc w:val="center"/>
            </w:pPr>
            <w:r w:rsidRPr="00872E30">
              <w:t>1</w:t>
            </w:r>
            <w:r>
              <w:t>5</w:t>
            </w:r>
          </w:p>
        </w:tc>
        <w:tc>
          <w:tcPr>
            <w:tcW w:w="928" w:type="dxa"/>
          </w:tcPr>
          <w:p w14:paraId="29FD0D98" w14:textId="5D820B68" w:rsidR="00BD3893" w:rsidRDefault="00357BAD" w:rsidP="00BD3893">
            <w:r>
              <w:t>11/26</w:t>
            </w:r>
          </w:p>
        </w:tc>
        <w:tc>
          <w:tcPr>
            <w:tcW w:w="5019" w:type="dxa"/>
          </w:tcPr>
          <w:p w14:paraId="6BFF4BD2" w14:textId="4EE904FF" w:rsidR="00BD3893" w:rsidRPr="00872E30" w:rsidRDefault="00FB34D3" w:rsidP="00FB34D3">
            <w:r w:rsidRPr="000F3177">
              <w:rPr>
                <w:color w:val="FF0000"/>
              </w:rPr>
              <w:t>THANKSGIVING WEEK: NO CLASS</w:t>
            </w:r>
          </w:p>
        </w:tc>
        <w:tc>
          <w:tcPr>
            <w:tcW w:w="3330" w:type="dxa"/>
          </w:tcPr>
          <w:p w14:paraId="6A338F83" w14:textId="77777777" w:rsidR="00BD3893" w:rsidRPr="004701CD" w:rsidRDefault="00BD3893" w:rsidP="00BD3893"/>
          <w:p w14:paraId="3C0C9BB2" w14:textId="7167BC12" w:rsidR="00BD3893" w:rsidRPr="00872E30" w:rsidRDefault="00BD3893" w:rsidP="00BD3893"/>
        </w:tc>
      </w:tr>
      <w:tr w:rsidR="00357BAD" w:rsidRPr="00872E30" w14:paraId="45539225" w14:textId="77777777" w:rsidTr="000B5220">
        <w:trPr>
          <w:cantSplit/>
        </w:trPr>
        <w:tc>
          <w:tcPr>
            <w:tcW w:w="528" w:type="dxa"/>
          </w:tcPr>
          <w:p w14:paraId="526DFE71" w14:textId="3BB5E89F" w:rsidR="00357BAD" w:rsidRPr="00872E30" w:rsidRDefault="00357BAD" w:rsidP="00BD3893">
            <w:pPr>
              <w:jc w:val="center"/>
            </w:pPr>
            <w:r>
              <w:t>16</w:t>
            </w:r>
          </w:p>
        </w:tc>
        <w:tc>
          <w:tcPr>
            <w:tcW w:w="928" w:type="dxa"/>
          </w:tcPr>
          <w:p w14:paraId="60C70A05" w14:textId="27AA662C" w:rsidR="00357BAD" w:rsidRDefault="00357BAD" w:rsidP="00BD3893">
            <w:r>
              <w:t>12/3</w:t>
            </w:r>
          </w:p>
        </w:tc>
        <w:tc>
          <w:tcPr>
            <w:tcW w:w="5019" w:type="dxa"/>
          </w:tcPr>
          <w:p w14:paraId="04A2C523" w14:textId="77777777" w:rsidR="00FB34D3" w:rsidRPr="00053F45" w:rsidRDefault="00FB34D3" w:rsidP="00FB34D3">
            <w:pPr>
              <w:rPr>
                <w:i/>
                <w:iCs/>
              </w:rPr>
            </w:pPr>
            <w:r w:rsidRPr="00053F45">
              <w:rPr>
                <w:i/>
                <w:iCs/>
              </w:rPr>
              <w:t>Student presentations</w:t>
            </w:r>
          </w:p>
          <w:p w14:paraId="4ED8465F" w14:textId="77777777" w:rsidR="00357BAD" w:rsidRPr="00053F45" w:rsidRDefault="00357BAD" w:rsidP="00BD3893">
            <w:pPr>
              <w:rPr>
                <w:i/>
                <w:iCs/>
              </w:rPr>
            </w:pPr>
          </w:p>
        </w:tc>
        <w:tc>
          <w:tcPr>
            <w:tcW w:w="3330" w:type="dxa"/>
          </w:tcPr>
          <w:p w14:paraId="3D2EABD4" w14:textId="77777777" w:rsidR="0099426F" w:rsidRPr="004701CD" w:rsidRDefault="0099426F" w:rsidP="0099426F">
            <w:r w:rsidRPr="004701CD">
              <w:t>Student report: Theories and Interventions part 2</w:t>
            </w:r>
          </w:p>
          <w:p w14:paraId="1386A8B9" w14:textId="77777777" w:rsidR="00357BAD" w:rsidRDefault="00357BAD" w:rsidP="00BD3893"/>
          <w:p w14:paraId="5A107B35" w14:textId="2EAAD97A" w:rsidR="0099426F" w:rsidRPr="004701CD" w:rsidRDefault="00D52288" w:rsidP="00BD3893">
            <w:r>
              <w:t>Final w</w:t>
            </w:r>
            <w:r w:rsidR="0099426F">
              <w:t>ritten report due</w:t>
            </w:r>
            <w:r w:rsidR="00AA31DB">
              <w:t xml:space="preserve"> 12/10</w:t>
            </w:r>
          </w:p>
        </w:tc>
      </w:tr>
    </w:tbl>
    <w:p w14:paraId="2EC73CE8" w14:textId="24925E0E" w:rsidR="008F582F" w:rsidRDefault="008F582F" w:rsidP="00C27AFA">
      <w:pPr>
        <w:spacing w:after="0" w:line="240" w:lineRule="auto"/>
        <w:rPr>
          <w:rFonts w:ascii="Times New Roman" w:eastAsia="Times New Roman" w:hAnsi="Times New Roman" w:cs="Times New Roman"/>
        </w:rPr>
      </w:pPr>
    </w:p>
    <w:p w14:paraId="6000FAAF" w14:textId="77777777" w:rsidR="00664BA2" w:rsidRDefault="00664BA2" w:rsidP="0072149F">
      <w:pPr>
        <w:spacing w:after="0" w:line="240" w:lineRule="auto"/>
        <w:rPr>
          <w:rFonts w:ascii="Times New Roman" w:eastAsia="Times New Roman" w:hAnsi="Times New Roman" w:cs="Times New Roman"/>
          <w:b/>
          <w:bCs/>
        </w:rPr>
      </w:pPr>
    </w:p>
    <w:p w14:paraId="6270C5B8" w14:textId="453010CA" w:rsidR="0072149F" w:rsidRPr="003C49F6" w:rsidRDefault="0072149F" w:rsidP="0072149F">
      <w:pPr>
        <w:spacing w:after="0" w:line="240" w:lineRule="auto"/>
        <w:rPr>
          <w:rFonts w:ascii="Times New Roman" w:eastAsia="Times New Roman" w:hAnsi="Times New Roman" w:cs="Times New Roman"/>
          <w:b/>
          <w:bCs/>
        </w:rPr>
      </w:pPr>
      <w:r w:rsidRPr="003C49F6">
        <w:rPr>
          <w:rFonts w:ascii="Times New Roman" w:eastAsia="Times New Roman" w:hAnsi="Times New Roman" w:cs="Times New Roman"/>
          <w:b/>
          <w:bCs/>
        </w:rPr>
        <w:lastRenderedPageBreak/>
        <w:t>Use of Artificial Intelligence</w:t>
      </w:r>
    </w:p>
    <w:p w14:paraId="4EF84BCB" w14:textId="3BF64BD8" w:rsidR="00D66F42" w:rsidRDefault="00D66F42" w:rsidP="00D66F42">
      <w:pPr>
        <w:spacing w:after="0" w:line="240" w:lineRule="auto"/>
        <w:rPr>
          <w:rFonts w:ascii="Times New Roman" w:eastAsia="Times New Roman" w:hAnsi="Times New Roman" w:cs="Times New Roman"/>
        </w:rPr>
      </w:pPr>
      <w:r>
        <w:rPr>
          <w:rFonts w:ascii="Times New Roman" w:eastAsia="Times New Roman" w:hAnsi="Times New Roman" w:cs="Times New Roman"/>
        </w:rPr>
        <w:t>Use of generative artificial intelligence is not permitted without written permission from the instructor. Use of generative artificial intelligence (including but not limited to Chat GPT) without permission, could result in a grade penalty. The university policy on plagiarism and the Honor Code applies to the use of artificial intelligence.</w:t>
      </w:r>
    </w:p>
    <w:p w14:paraId="0132E4BB" w14:textId="77777777" w:rsidR="0072149F" w:rsidRDefault="0072149F" w:rsidP="0072149F">
      <w:pPr>
        <w:spacing w:after="0" w:line="240" w:lineRule="auto"/>
        <w:rPr>
          <w:rFonts w:ascii="Times New Roman" w:eastAsia="Times New Roman" w:hAnsi="Times New Roman" w:cs="Times New Roman"/>
        </w:rPr>
      </w:pPr>
    </w:p>
    <w:p w14:paraId="187D9129" w14:textId="77777777" w:rsidR="0072149F" w:rsidRPr="0072149F" w:rsidRDefault="0072149F" w:rsidP="0072149F">
      <w:pPr>
        <w:spacing w:after="0" w:line="240" w:lineRule="auto"/>
        <w:rPr>
          <w:rFonts w:ascii="Times New Roman" w:eastAsia="Times New Roman" w:hAnsi="Times New Roman" w:cs="Times New Roman"/>
          <w:b/>
          <w:bCs/>
        </w:rPr>
      </w:pPr>
      <w:r w:rsidRPr="0072149F">
        <w:rPr>
          <w:rFonts w:ascii="Times New Roman" w:eastAsia="Times New Roman" w:hAnsi="Times New Roman" w:cs="Times New Roman"/>
          <w:b/>
          <w:bCs/>
        </w:rPr>
        <w:t>University-Wide Policies and Student Support Services</w:t>
      </w:r>
    </w:p>
    <w:p w14:paraId="2436805A" w14:textId="77777777" w:rsidR="0072149F" w:rsidRDefault="0072149F" w:rsidP="0072149F">
      <w:p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B20FB09" w14:textId="77777777" w:rsidR="00356256" w:rsidRPr="0072149F" w:rsidRDefault="00356256" w:rsidP="0072149F">
      <w:pPr>
        <w:spacing w:after="0" w:line="240" w:lineRule="auto"/>
        <w:rPr>
          <w:rFonts w:ascii="Times New Roman" w:eastAsia="Times New Roman" w:hAnsi="Times New Roman" w:cs="Times New Roman"/>
        </w:rPr>
      </w:pPr>
    </w:p>
    <w:p w14:paraId="59E6D359" w14:textId="40D359E4" w:rsidR="0072149F" w:rsidRDefault="0072149F" w:rsidP="0072149F">
      <w:p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 xml:space="preserve">Students are expected to visit and review the centralized UF Syllabus Policy page at: </w:t>
      </w:r>
      <w:hyperlink r:id="rId11" w:history="1">
        <w:r w:rsidRPr="0072149F">
          <w:rPr>
            <w:rStyle w:val="Hyperlink"/>
            <w:rFonts w:ascii="Times New Roman" w:eastAsia="Times New Roman" w:hAnsi="Times New Roman" w:cs="Times New Roman"/>
          </w:rPr>
          <w:t>UF Syllabus Policy</w:t>
        </w:r>
      </w:hyperlink>
      <w:r w:rsidRPr="0072149F">
        <w:rPr>
          <w:rFonts w:ascii="Times New Roman" w:eastAsia="Times New Roman" w:hAnsi="Times New Roman" w:cs="Times New Roman"/>
        </w:rPr>
        <w:t>. Throughout the term, students are strongly encouraged to return to this page regularly to stay updated on important university expectations and explore available resources. The page includes information on topics such as:</w:t>
      </w:r>
    </w:p>
    <w:p w14:paraId="41630B75" w14:textId="77777777" w:rsidR="00DA433A" w:rsidRPr="0072149F" w:rsidRDefault="00DA433A" w:rsidP="0072149F">
      <w:pPr>
        <w:spacing w:after="0" w:line="240" w:lineRule="auto"/>
        <w:rPr>
          <w:rFonts w:ascii="Times New Roman" w:eastAsia="Times New Roman" w:hAnsi="Times New Roman" w:cs="Times New Roman"/>
        </w:rPr>
      </w:pPr>
    </w:p>
    <w:p w14:paraId="0746ECF1" w14:textId="77777777" w:rsidR="0072149F" w:rsidRPr="0072149F" w:rsidRDefault="0072149F" w:rsidP="0072149F">
      <w:p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Academic Policies</w:t>
      </w:r>
    </w:p>
    <w:p w14:paraId="46FC8F0D" w14:textId="1A001589" w:rsidR="0072149F" w:rsidRPr="00DA433A" w:rsidRDefault="0072149F" w:rsidP="00DA433A">
      <w:pPr>
        <w:pStyle w:val="ListParagraph"/>
        <w:numPr>
          <w:ilvl w:val="0"/>
          <w:numId w:val="13"/>
        </w:numPr>
        <w:spacing w:after="0" w:line="240" w:lineRule="auto"/>
        <w:rPr>
          <w:rFonts w:ascii="Times New Roman" w:eastAsia="Times New Roman" w:hAnsi="Times New Roman" w:cs="Times New Roman"/>
        </w:rPr>
      </w:pPr>
      <w:r w:rsidRPr="00DA433A">
        <w:rPr>
          <w:rFonts w:ascii="Times New Roman" w:eastAsia="Times New Roman" w:hAnsi="Times New Roman" w:cs="Times New Roman"/>
        </w:rPr>
        <w:t>Attendance requirements and make-up work procedures</w:t>
      </w:r>
    </w:p>
    <w:p w14:paraId="6208B3B9" w14:textId="13A19D4E" w:rsidR="0072149F" w:rsidRPr="00DA433A" w:rsidRDefault="0072149F" w:rsidP="00DA433A">
      <w:pPr>
        <w:pStyle w:val="ListParagraph"/>
        <w:numPr>
          <w:ilvl w:val="0"/>
          <w:numId w:val="13"/>
        </w:numPr>
        <w:spacing w:after="0" w:line="240" w:lineRule="auto"/>
        <w:rPr>
          <w:rFonts w:ascii="Times New Roman" w:eastAsia="Times New Roman" w:hAnsi="Times New Roman" w:cs="Times New Roman"/>
        </w:rPr>
      </w:pPr>
      <w:r w:rsidRPr="00DA433A">
        <w:rPr>
          <w:rFonts w:ascii="Times New Roman" w:eastAsia="Times New Roman" w:hAnsi="Times New Roman" w:cs="Times New Roman"/>
        </w:rPr>
        <w:t>Academic accommodations for students with disabilities</w:t>
      </w:r>
    </w:p>
    <w:p w14:paraId="02E39D6C" w14:textId="2904856E" w:rsidR="0072149F" w:rsidRPr="00DA433A" w:rsidRDefault="0072149F" w:rsidP="00DA433A">
      <w:pPr>
        <w:pStyle w:val="ListParagraph"/>
        <w:numPr>
          <w:ilvl w:val="0"/>
          <w:numId w:val="13"/>
        </w:numPr>
        <w:spacing w:after="0" w:line="240" w:lineRule="auto"/>
        <w:rPr>
          <w:rFonts w:ascii="Times New Roman" w:eastAsia="Times New Roman" w:hAnsi="Times New Roman" w:cs="Times New Roman"/>
        </w:rPr>
      </w:pPr>
      <w:r w:rsidRPr="00DA433A">
        <w:rPr>
          <w:rFonts w:ascii="Times New Roman" w:eastAsia="Times New Roman" w:hAnsi="Times New Roman" w:cs="Times New Roman"/>
        </w:rPr>
        <w:t>Grading standards and grade point policies</w:t>
      </w:r>
    </w:p>
    <w:p w14:paraId="711AEA35" w14:textId="61549DAF" w:rsidR="0072149F" w:rsidRPr="00DA433A" w:rsidRDefault="0072149F" w:rsidP="00DA433A">
      <w:pPr>
        <w:pStyle w:val="ListParagraph"/>
        <w:numPr>
          <w:ilvl w:val="0"/>
          <w:numId w:val="13"/>
        </w:numPr>
        <w:spacing w:after="0" w:line="240" w:lineRule="auto"/>
        <w:rPr>
          <w:rFonts w:ascii="Times New Roman" w:eastAsia="Times New Roman" w:hAnsi="Times New Roman" w:cs="Times New Roman"/>
        </w:rPr>
      </w:pPr>
      <w:r w:rsidRPr="00DA433A">
        <w:rPr>
          <w:rFonts w:ascii="Times New Roman" w:eastAsia="Times New Roman" w:hAnsi="Times New Roman" w:cs="Times New Roman"/>
        </w:rPr>
        <w:t>Course evaluation instructions and portals</w:t>
      </w:r>
    </w:p>
    <w:p w14:paraId="3097F961" w14:textId="52DDE208" w:rsidR="0072149F" w:rsidRPr="00DA433A" w:rsidRDefault="0072149F" w:rsidP="00DA433A">
      <w:pPr>
        <w:pStyle w:val="ListParagraph"/>
        <w:numPr>
          <w:ilvl w:val="0"/>
          <w:numId w:val="13"/>
        </w:numPr>
        <w:spacing w:after="0" w:line="240" w:lineRule="auto"/>
        <w:rPr>
          <w:rFonts w:ascii="Times New Roman" w:eastAsia="Times New Roman" w:hAnsi="Times New Roman" w:cs="Times New Roman"/>
        </w:rPr>
      </w:pPr>
      <w:r w:rsidRPr="00DA433A">
        <w:rPr>
          <w:rFonts w:ascii="Times New Roman" w:eastAsia="Times New Roman" w:hAnsi="Times New Roman" w:cs="Times New Roman"/>
        </w:rPr>
        <w:t>Student Honor Code and University Honesty Policy</w:t>
      </w:r>
    </w:p>
    <w:p w14:paraId="5146CE09" w14:textId="5FFA7EE0" w:rsidR="0072149F" w:rsidRPr="00DA433A" w:rsidRDefault="0072149F" w:rsidP="00DA433A">
      <w:pPr>
        <w:pStyle w:val="ListParagraph"/>
        <w:numPr>
          <w:ilvl w:val="0"/>
          <w:numId w:val="13"/>
        </w:numPr>
        <w:spacing w:after="0" w:line="240" w:lineRule="auto"/>
        <w:rPr>
          <w:rFonts w:ascii="Times New Roman" w:eastAsia="Times New Roman" w:hAnsi="Times New Roman" w:cs="Times New Roman"/>
        </w:rPr>
      </w:pPr>
      <w:r w:rsidRPr="00DA433A">
        <w:rPr>
          <w:rFonts w:ascii="Times New Roman" w:eastAsia="Times New Roman" w:hAnsi="Times New Roman" w:cs="Times New Roman"/>
        </w:rPr>
        <w:t>Guidelines governing the recording and use of class lectures</w:t>
      </w:r>
    </w:p>
    <w:p w14:paraId="21954A06" w14:textId="77777777" w:rsidR="00DA433A" w:rsidRPr="0072149F" w:rsidRDefault="00DA433A" w:rsidP="0072149F">
      <w:pPr>
        <w:spacing w:after="0" w:line="240" w:lineRule="auto"/>
        <w:rPr>
          <w:rFonts w:ascii="Times New Roman" w:eastAsia="Times New Roman" w:hAnsi="Times New Roman" w:cs="Times New Roman"/>
        </w:rPr>
      </w:pPr>
    </w:p>
    <w:p w14:paraId="245B1A45" w14:textId="77777777" w:rsidR="0072149F" w:rsidRPr="0072149F" w:rsidRDefault="0072149F" w:rsidP="0072149F">
      <w:p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Academic Resources</w:t>
      </w:r>
    </w:p>
    <w:p w14:paraId="560B8B3A" w14:textId="4759CE6F"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E-learning support and technology assistance</w:t>
      </w:r>
    </w:p>
    <w:p w14:paraId="13E918D3" w14:textId="5B51565C"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Career and counseling services (Career Connections Center)</w:t>
      </w:r>
    </w:p>
    <w:p w14:paraId="706A0794" w14:textId="51143BBA"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Library access and help services</w:t>
      </w:r>
    </w:p>
    <w:p w14:paraId="2EB1AA0F" w14:textId="233665A7"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Study skills support and tutoring (Teaching Center)</w:t>
      </w:r>
    </w:p>
    <w:p w14:paraId="70D5CD80" w14:textId="3DE236FF"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Writing support (Writing Studio)</w:t>
      </w:r>
    </w:p>
    <w:p w14:paraId="55398F5A" w14:textId="74720562"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Complaint procedures and academic grievance resources</w:t>
      </w:r>
    </w:p>
    <w:p w14:paraId="1C3D403F" w14:textId="6773A4AF" w:rsid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UF Student Success Initiative resources</w:t>
      </w:r>
    </w:p>
    <w:p w14:paraId="422F507A" w14:textId="77777777" w:rsidR="00DA433A" w:rsidRPr="0072149F" w:rsidRDefault="00DA433A" w:rsidP="0072149F">
      <w:pPr>
        <w:spacing w:after="0" w:line="240" w:lineRule="auto"/>
        <w:rPr>
          <w:rFonts w:ascii="Times New Roman" w:eastAsia="Times New Roman" w:hAnsi="Times New Roman" w:cs="Times New Roman"/>
        </w:rPr>
      </w:pPr>
    </w:p>
    <w:p w14:paraId="74D66E7A" w14:textId="77777777" w:rsidR="0072149F" w:rsidRPr="0072149F" w:rsidRDefault="0072149F" w:rsidP="0072149F">
      <w:p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Campus Health &amp; Wellness</w:t>
      </w:r>
    </w:p>
    <w:p w14:paraId="615923FF" w14:textId="3CA6EC2B"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Physical, mental, and emotional health services</w:t>
      </w:r>
    </w:p>
    <w:p w14:paraId="33C6DA35" w14:textId="251A3563"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Safety and support programs</w:t>
      </w:r>
    </w:p>
    <w:p w14:paraId="6EAE04A8" w14:textId="3EB05E7A" w:rsidR="0072149F" w:rsidRPr="0072149F" w:rsidRDefault="0072149F" w:rsidP="00DA433A">
      <w:pPr>
        <w:pStyle w:val="ListParagraph"/>
        <w:numPr>
          <w:ilvl w:val="0"/>
          <w:numId w:val="13"/>
        </w:numPr>
        <w:spacing w:after="0" w:line="240" w:lineRule="auto"/>
        <w:rPr>
          <w:rFonts w:ascii="Times New Roman" w:eastAsia="Times New Roman" w:hAnsi="Times New Roman" w:cs="Times New Roman"/>
        </w:rPr>
      </w:pPr>
      <w:r w:rsidRPr="0072149F">
        <w:rPr>
          <w:rFonts w:ascii="Times New Roman" w:eastAsia="Times New Roman" w:hAnsi="Times New Roman" w:cs="Times New Roman"/>
        </w:rPr>
        <w:t>UF Whole Gator wellness tools</w:t>
      </w:r>
    </w:p>
    <w:p w14:paraId="4D87811B" w14:textId="77777777" w:rsidR="0072149F" w:rsidRDefault="0072149F" w:rsidP="008A00EA">
      <w:pPr>
        <w:spacing w:after="0" w:line="240" w:lineRule="auto"/>
        <w:rPr>
          <w:rFonts w:ascii="Times New Roman" w:eastAsia="Times New Roman" w:hAnsi="Times New Roman" w:cs="Times New Roman"/>
          <w:b/>
          <w:bCs/>
        </w:rPr>
      </w:pPr>
    </w:p>
    <w:p w14:paraId="718CCA4B" w14:textId="5844D6D2" w:rsidR="00F03D38" w:rsidRDefault="00F03D38" w:rsidP="008A00E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Reading List</w:t>
      </w:r>
    </w:p>
    <w:p w14:paraId="6138F195" w14:textId="77777777" w:rsidR="00694B2F" w:rsidRPr="00694B2F" w:rsidRDefault="00694B2F" w:rsidP="00694B2F">
      <w:pPr>
        <w:pStyle w:val="Bibliography"/>
        <w:spacing w:after="120" w:line="240" w:lineRule="auto"/>
        <w:rPr>
          <w:rFonts w:ascii="Times New Roman" w:hAnsi="Times New Roman" w:cs="Times New Roman"/>
        </w:rPr>
      </w:pPr>
      <w:proofErr w:type="spellStart"/>
      <w:r w:rsidRPr="00694B2F">
        <w:rPr>
          <w:rFonts w:ascii="Times New Roman" w:hAnsi="Times New Roman" w:cs="Times New Roman"/>
        </w:rPr>
        <w:t>Brønn</w:t>
      </w:r>
      <w:proofErr w:type="spellEnd"/>
      <w:r w:rsidRPr="00694B2F">
        <w:rPr>
          <w:rFonts w:ascii="Times New Roman" w:hAnsi="Times New Roman" w:cs="Times New Roman"/>
        </w:rPr>
        <w:t xml:space="preserve">, P. S., &amp; </w:t>
      </w:r>
      <w:proofErr w:type="spellStart"/>
      <w:r w:rsidRPr="00694B2F">
        <w:rPr>
          <w:rFonts w:ascii="Times New Roman" w:hAnsi="Times New Roman" w:cs="Times New Roman"/>
        </w:rPr>
        <w:t>Brønn</w:t>
      </w:r>
      <w:proofErr w:type="spellEnd"/>
      <w:r w:rsidRPr="00694B2F">
        <w:rPr>
          <w:rFonts w:ascii="Times New Roman" w:hAnsi="Times New Roman" w:cs="Times New Roman"/>
        </w:rPr>
        <w:t xml:space="preserve">, C. (2003). A reflective stakeholder approach: Co-orientation as a basis for communication and learning. </w:t>
      </w:r>
      <w:r w:rsidRPr="00694B2F">
        <w:rPr>
          <w:rFonts w:ascii="Times New Roman" w:hAnsi="Times New Roman" w:cs="Times New Roman"/>
          <w:i/>
          <w:iCs/>
        </w:rPr>
        <w:t>Journal of Communication Management</w:t>
      </w:r>
      <w:r w:rsidRPr="00694B2F">
        <w:rPr>
          <w:rFonts w:ascii="Times New Roman" w:hAnsi="Times New Roman" w:cs="Times New Roman"/>
        </w:rPr>
        <w:t xml:space="preserve">, </w:t>
      </w:r>
      <w:r w:rsidRPr="00694B2F">
        <w:rPr>
          <w:rFonts w:ascii="Times New Roman" w:hAnsi="Times New Roman" w:cs="Times New Roman"/>
          <w:i/>
          <w:iCs/>
        </w:rPr>
        <w:t>7</w:t>
      </w:r>
      <w:r w:rsidRPr="00694B2F">
        <w:rPr>
          <w:rFonts w:ascii="Times New Roman" w:hAnsi="Times New Roman" w:cs="Times New Roman"/>
        </w:rPr>
        <w:t>, 291–303.</w:t>
      </w:r>
    </w:p>
    <w:p w14:paraId="121DE4AB" w14:textId="77777777" w:rsidR="00E26D07" w:rsidRPr="007D1552" w:rsidRDefault="00E26D07" w:rsidP="00E26D07">
      <w:pPr>
        <w:pStyle w:val="Bibliography"/>
        <w:spacing w:after="120" w:line="240" w:lineRule="auto"/>
        <w:rPr>
          <w:rFonts w:ascii="Times New Roman" w:hAnsi="Times New Roman" w:cs="Times New Roman"/>
        </w:rPr>
      </w:pPr>
      <w:r w:rsidRPr="007D1552">
        <w:rPr>
          <w:rFonts w:ascii="Times New Roman" w:hAnsi="Times New Roman" w:cs="Times New Roman"/>
        </w:rPr>
        <w:t xml:space="preserve">Chesnes, M. (2024, August 21). DeSantis admin wants to put golf courses, pickleball courts and more in Florida state parks. </w:t>
      </w:r>
      <w:r w:rsidRPr="007D1552">
        <w:rPr>
          <w:rFonts w:ascii="Times New Roman" w:hAnsi="Times New Roman" w:cs="Times New Roman"/>
          <w:i/>
          <w:iCs/>
        </w:rPr>
        <w:t>Tampa Bay Times</w:t>
      </w:r>
      <w:r w:rsidRPr="007D1552">
        <w:rPr>
          <w:rFonts w:ascii="Times New Roman" w:hAnsi="Times New Roman" w:cs="Times New Roman"/>
        </w:rPr>
        <w:t>. https://www.tampabay.com/news/environment/2024/08/21/florida-state-parks-jonathan-dickinson-golf-course/</w:t>
      </w:r>
    </w:p>
    <w:p w14:paraId="6098DC16" w14:textId="77777777" w:rsidR="00694B2F" w:rsidRPr="00694B2F" w:rsidRDefault="00694B2F" w:rsidP="00694B2F">
      <w:pPr>
        <w:pStyle w:val="Bibliography"/>
        <w:spacing w:after="120" w:line="240" w:lineRule="auto"/>
        <w:rPr>
          <w:rFonts w:ascii="Times New Roman" w:hAnsi="Times New Roman" w:cs="Times New Roman"/>
        </w:rPr>
      </w:pPr>
      <w:proofErr w:type="spellStart"/>
      <w:r w:rsidRPr="00694B2F">
        <w:rPr>
          <w:rFonts w:ascii="Times New Roman" w:hAnsi="Times New Roman" w:cs="Times New Roman"/>
        </w:rPr>
        <w:t>Entman</w:t>
      </w:r>
      <w:proofErr w:type="spellEnd"/>
      <w:r w:rsidRPr="00694B2F">
        <w:rPr>
          <w:rFonts w:ascii="Times New Roman" w:hAnsi="Times New Roman" w:cs="Times New Roman"/>
        </w:rPr>
        <w:t xml:space="preserve">, R. M. (1993). Framing: Toward clarification of a fractured paradigm. </w:t>
      </w:r>
      <w:r w:rsidRPr="00694B2F">
        <w:rPr>
          <w:rFonts w:ascii="Times New Roman" w:hAnsi="Times New Roman" w:cs="Times New Roman"/>
          <w:i/>
          <w:iCs/>
        </w:rPr>
        <w:t>Journal of Communication</w:t>
      </w:r>
      <w:r w:rsidRPr="00694B2F">
        <w:rPr>
          <w:rFonts w:ascii="Times New Roman" w:hAnsi="Times New Roman" w:cs="Times New Roman"/>
        </w:rPr>
        <w:t xml:space="preserve">, </w:t>
      </w:r>
      <w:r w:rsidRPr="00694B2F">
        <w:rPr>
          <w:rFonts w:ascii="Times New Roman" w:hAnsi="Times New Roman" w:cs="Times New Roman"/>
          <w:i/>
          <w:iCs/>
        </w:rPr>
        <w:t>43</w:t>
      </w:r>
      <w:r w:rsidRPr="00694B2F">
        <w:rPr>
          <w:rFonts w:ascii="Times New Roman" w:hAnsi="Times New Roman" w:cs="Times New Roman"/>
        </w:rPr>
        <w:t>(4), 51–58. https://doi.org/10.1111/j.1460-2466.1993.tb01304.x</w:t>
      </w:r>
    </w:p>
    <w:p w14:paraId="6340149A"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Fielding, K. S., &amp; Hornsey, M. J. (2016). A Social Identity Analysis of Climate Change and Environmental Attitudes and Behaviors: Insights and Opportunities. </w:t>
      </w:r>
      <w:r w:rsidRPr="00694B2F">
        <w:rPr>
          <w:rFonts w:ascii="Times New Roman" w:hAnsi="Times New Roman" w:cs="Times New Roman"/>
          <w:i/>
          <w:iCs/>
        </w:rPr>
        <w:t>Frontiers in Psychology</w:t>
      </w:r>
      <w:r w:rsidRPr="00694B2F">
        <w:rPr>
          <w:rFonts w:ascii="Times New Roman" w:hAnsi="Times New Roman" w:cs="Times New Roman"/>
        </w:rPr>
        <w:t xml:space="preserve">, </w:t>
      </w:r>
      <w:r w:rsidRPr="00694B2F">
        <w:rPr>
          <w:rFonts w:ascii="Times New Roman" w:hAnsi="Times New Roman" w:cs="Times New Roman"/>
          <w:i/>
          <w:iCs/>
        </w:rPr>
        <w:t>7</w:t>
      </w:r>
      <w:r w:rsidRPr="00694B2F">
        <w:rPr>
          <w:rFonts w:ascii="Times New Roman" w:hAnsi="Times New Roman" w:cs="Times New Roman"/>
        </w:rPr>
        <w:t>. https://doi.org/10.3389/fpsyg.2016.00121</w:t>
      </w:r>
    </w:p>
    <w:p w14:paraId="2C634544"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Haidt, J. (2012). </w:t>
      </w:r>
      <w:r w:rsidRPr="00694B2F">
        <w:rPr>
          <w:rFonts w:ascii="Times New Roman" w:hAnsi="Times New Roman" w:cs="Times New Roman"/>
          <w:i/>
          <w:iCs/>
        </w:rPr>
        <w:t>The Righteous Mind: Why Good People Are Divided by Politics and Religion</w:t>
      </w:r>
      <w:r w:rsidRPr="00694B2F">
        <w:rPr>
          <w:rFonts w:ascii="Times New Roman" w:hAnsi="Times New Roman" w:cs="Times New Roman"/>
        </w:rPr>
        <w:t>. Random House, Inc.</w:t>
      </w:r>
    </w:p>
    <w:p w14:paraId="77651C10"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Hart, P. S., &amp; Nisbet, E. C. (2012). Boomerang effects in science communication: How motivated reasoning and identity cues amplify opinion polarization about climate mitigation policies. </w:t>
      </w:r>
      <w:r w:rsidRPr="00694B2F">
        <w:rPr>
          <w:rFonts w:ascii="Times New Roman" w:hAnsi="Times New Roman" w:cs="Times New Roman"/>
          <w:i/>
          <w:iCs/>
        </w:rPr>
        <w:t>Communication Research</w:t>
      </w:r>
      <w:r w:rsidRPr="00694B2F">
        <w:rPr>
          <w:rFonts w:ascii="Times New Roman" w:hAnsi="Times New Roman" w:cs="Times New Roman"/>
        </w:rPr>
        <w:t xml:space="preserve">, </w:t>
      </w:r>
      <w:r w:rsidRPr="00694B2F">
        <w:rPr>
          <w:rFonts w:ascii="Times New Roman" w:hAnsi="Times New Roman" w:cs="Times New Roman"/>
          <w:i/>
          <w:iCs/>
        </w:rPr>
        <w:t>39</w:t>
      </w:r>
      <w:r w:rsidRPr="00694B2F">
        <w:rPr>
          <w:rFonts w:ascii="Times New Roman" w:hAnsi="Times New Roman" w:cs="Times New Roman"/>
        </w:rPr>
        <w:t>(6), 701–723. https://doi.org/10.1177/0093650211416646</w:t>
      </w:r>
    </w:p>
    <w:p w14:paraId="7CF29442"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Hogg, M. A., &amp; Reid, S. A. (2006). Social Identity, Self-Categorization, and the Communication of Group Norms. </w:t>
      </w:r>
      <w:r w:rsidRPr="00694B2F">
        <w:rPr>
          <w:rFonts w:ascii="Times New Roman" w:hAnsi="Times New Roman" w:cs="Times New Roman"/>
          <w:i/>
          <w:iCs/>
        </w:rPr>
        <w:t>Communication Theory</w:t>
      </w:r>
      <w:r w:rsidRPr="00694B2F">
        <w:rPr>
          <w:rFonts w:ascii="Times New Roman" w:hAnsi="Times New Roman" w:cs="Times New Roman"/>
        </w:rPr>
        <w:t xml:space="preserve">, </w:t>
      </w:r>
      <w:r w:rsidRPr="00694B2F">
        <w:rPr>
          <w:rFonts w:ascii="Times New Roman" w:hAnsi="Times New Roman" w:cs="Times New Roman"/>
          <w:i/>
          <w:iCs/>
        </w:rPr>
        <w:t>16</w:t>
      </w:r>
      <w:r w:rsidRPr="00694B2F">
        <w:rPr>
          <w:rFonts w:ascii="Times New Roman" w:hAnsi="Times New Roman" w:cs="Times New Roman"/>
        </w:rPr>
        <w:t>(1), 7–30. https://doi.org/10.1111/j.1468-2885.2006.00003.x</w:t>
      </w:r>
    </w:p>
    <w:p w14:paraId="012EB153" w14:textId="77777777" w:rsidR="00694B2F" w:rsidRPr="00694B2F" w:rsidRDefault="00694B2F" w:rsidP="00694B2F">
      <w:pPr>
        <w:pStyle w:val="Bibliography"/>
        <w:spacing w:after="120" w:line="240" w:lineRule="auto"/>
        <w:rPr>
          <w:rFonts w:ascii="Times New Roman" w:hAnsi="Times New Roman" w:cs="Times New Roman"/>
        </w:rPr>
      </w:pPr>
      <w:proofErr w:type="spellStart"/>
      <w:r w:rsidRPr="00694B2F">
        <w:rPr>
          <w:rFonts w:ascii="Times New Roman" w:hAnsi="Times New Roman" w:cs="Times New Roman"/>
        </w:rPr>
        <w:lastRenderedPageBreak/>
        <w:t>Joireman</w:t>
      </w:r>
      <w:proofErr w:type="spellEnd"/>
      <w:r w:rsidRPr="00694B2F">
        <w:rPr>
          <w:rFonts w:ascii="Times New Roman" w:hAnsi="Times New Roman" w:cs="Times New Roman"/>
        </w:rPr>
        <w:t xml:space="preserve">, J., Barnes Truelove, H., &amp; Duell, B. (2010). Effect of outdoor temperature, heat primes and anchoring on belief in global warming. </w:t>
      </w:r>
      <w:r w:rsidRPr="00694B2F">
        <w:rPr>
          <w:rFonts w:ascii="Times New Roman" w:hAnsi="Times New Roman" w:cs="Times New Roman"/>
          <w:i/>
          <w:iCs/>
        </w:rPr>
        <w:t>Journal of Environmental Psychology</w:t>
      </w:r>
      <w:r w:rsidRPr="00694B2F">
        <w:rPr>
          <w:rFonts w:ascii="Times New Roman" w:hAnsi="Times New Roman" w:cs="Times New Roman"/>
        </w:rPr>
        <w:t xml:space="preserve">, </w:t>
      </w:r>
      <w:r w:rsidRPr="00694B2F">
        <w:rPr>
          <w:rFonts w:ascii="Times New Roman" w:hAnsi="Times New Roman" w:cs="Times New Roman"/>
          <w:i/>
          <w:iCs/>
        </w:rPr>
        <w:t>30</w:t>
      </w:r>
      <w:r w:rsidRPr="00694B2F">
        <w:rPr>
          <w:rFonts w:ascii="Times New Roman" w:hAnsi="Times New Roman" w:cs="Times New Roman"/>
        </w:rPr>
        <w:t>(4), 358–367. https://doi.org/10.1016/j.jenvp.2010.03.004</w:t>
      </w:r>
    </w:p>
    <w:p w14:paraId="77556EAD"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Jostad, P. M., McAvoy, L. H., &amp; McDonald, D. (1996). Native American land ethics: Implications for natural resource management. </w:t>
      </w:r>
      <w:r w:rsidRPr="00694B2F">
        <w:rPr>
          <w:rFonts w:ascii="Times New Roman" w:hAnsi="Times New Roman" w:cs="Times New Roman"/>
          <w:i/>
          <w:iCs/>
        </w:rPr>
        <w:t>Society &amp; Natural Resources</w:t>
      </w:r>
      <w:r w:rsidRPr="00694B2F">
        <w:rPr>
          <w:rFonts w:ascii="Times New Roman" w:hAnsi="Times New Roman" w:cs="Times New Roman"/>
        </w:rPr>
        <w:t xml:space="preserve">, </w:t>
      </w:r>
      <w:r w:rsidRPr="00694B2F">
        <w:rPr>
          <w:rFonts w:ascii="Times New Roman" w:hAnsi="Times New Roman" w:cs="Times New Roman"/>
          <w:i/>
          <w:iCs/>
        </w:rPr>
        <w:t>9</w:t>
      </w:r>
      <w:r w:rsidRPr="00694B2F">
        <w:rPr>
          <w:rFonts w:ascii="Times New Roman" w:hAnsi="Times New Roman" w:cs="Times New Roman"/>
        </w:rPr>
        <w:t>(6), 565–581. https://doi.org/10.1080/08941929609380996</w:t>
      </w:r>
    </w:p>
    <w:p w14:paraId="2383E587"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Kahan, D. M. (2017). On the sources of ordinary science knowledge and extraordinary science ignorance. In K. H. Jamieson, D. M. Kahan, &amp; D. A. Scheufele (Eds.), </w:t>
      </w:r>
      <w:r w:rsidRPr="00694B2F">
        <w:rPr>
          <w:rFonts w:ascii="Times New Roman" w:hAnsi="Times New Roman" w:cs="Times New Roman"/>
          <w:i/>
          <w:iCs/>
        </w:rPr>
        <w:t>Oxford Handbook of the Science of Science Communication</w:t>
      </w:r>
      <w:r w:rsidRPr="00694B2F">
        <w:rPr>
          <w:rFonts w:ascii="Times New Roman" w:hAnsi="Times New Roman" w:cs="Times New Roman"/>
        </w:rPr>
        <w:t xml:space="preserve"> (pp. 35–50). Oxford University Press.</w:t>
      </w:r>
    </w:p>
    <w:p w14:paraId="160922AB"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Kahan, D. M., &amp; Braman, D. (2006). Cultural cognition and public policy. </w:t>
      </w:r>
      <w:r w:rsidRPr="00694B2F">
        <w:rPr>
          <w:rFonts w:ascii="Times New Roman" w:hAnsi="Times New Roman" w:cs="Times New Roman"/>
          <w:i/>
          <w:iCs/>
        </w:rPr>
        <w:t>Yale Law &amp; Policy Review, Public Law Working Paper No. 87</w:t>
      </w:r>
      <w:r w:rsidRPr="00694B2F">
        <w:rPr>
          <w:rFonts w:ascii="Times New Roman" w:hAnsi="Times New Roman" w:cs="Times New Roman"/>
        </w:rPr>
        <w:t xml:space="preserve">, </w:t>
      </w:r>
      <w:r w:rsidRPr="00694B2F">
        <w:rPr>
          <w:rFonts w:ascii="Times New Roman" w:hAnsi="Times New Roman" w:cs="Times New Roman"/>
          <w:i/>
          <w:iCs/>
        </w:rPr>
        <w:t>24</w:t>
      </w:r>
      <w:r w:rsidRPr="00694B2F">
        <w:rPr>
          <w:rFonts w:ascii="Times New Roman" w:hAnsi="Times New Roman" w:cs="Times New Roman"/>
        </w:rPr>
        <w:t>, 147–170.</w:t>
      </w:r>
    </w:p>
    <w:p w14:paraId="7783BD8E"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Kahneman, D. (2011). </w:t>
      </w:r>
      <w:r w:rsidRPr="00694B2F">
        <w:rPr>
          <w:rFonts w:ascii="Times New Roman" w:hAnsi="Times New Roman" w:cs="Times New Roman"/>
          <w:i/>
          <w:iCs/>
        </w:rPr>
        <w:t>Thinking, Fast and Slow</w:t>
      </w:r>
      <w:r w:rsidRPr="00694B2F">
        <w:rPr>
          <w:rFonts w:ascii="Times New Roman" w:hAnsi="Times New Roman" w:cs="Times New Roman"/>
        </w:rPr>
        <w:t>. Farrar, Straus and Giroux.</w:t>
      </w:r>
    </w:p>
    <w:p w14:paraId="140BDCB6"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Kearney, A. R. (2015). 3CM: A Tool for Knowing “Where They’re At.” In R. Kaplan &amp; A. Basu (Eds.), </w:t>
      </w:r>
      <w:r w:rsidRPr="00694B2F">
        <w:rPr>
          <w:rFonts w:ascii="Times New Roman" w:hAnsi="Times New Roman" w:cs="Times New Roman"/>
          <w:i/>
          <w:iCs/>
        </w:rPr>
        <w:t>Fostering Reasonableness: Supportive Environments for Bringing Out Our Best</w:t>
      </w:r>
      <w:r w:rsidRPr="00694B2F">
        <w:rPr>
          <w:rFonts w:ascii="Times New Roman" w:hAnsi="Times New Roman" w:cs="Times New Roman"/>
        </w:rPr>
        <w:t xml:space="preserve"> (pp. 273–294). Michigan Publishing.</w:t>
      </w:r>
    </w:p>
    <w:p w14:paraId="261EE9CA"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Kearney, A. R., &amp; Bradley, G. (1998). Human dimensions of forest management: An empirical study of stakeholder perspectives. </w:t>
      </w:r>
      <w:r w:rsidRPr="00694B2F">
        <w:rPr>
          <w:rFonts w:ascii="Times New Roman" w:hAnsi="Times New Roman" w:cs="Times New Roman"/>
          <w:i/>
          <w:iCs/>
        </w:rPr>
        <w:t>Urban Ecosystems</w:t>
      </w:r>
      <w:r w:rsidRPr="00694B2F">
        <w:rPr>
          <w:rFonts w:ascii="Times New Roman" w:hAnsi="Times New Roman" w:cs="Times New Roman"/>
        </w:rPr>
        <w:t xml:space="preserve">, </w:t>
      </w:r>
      <w:r w:rsidRPr="00694B2F">
        <w:rPr>
          <w:rFonts w:ascii="Times New Roman" w:hAnsi="Times New Roman" w:cs="Times New Roman"/>
          <w:i/>
          <w:iCs/>
        </w:rPr>
        <w:t>2</w:t>
      </w:r>
      <w:r w:rsidRPr="00694B2F">
        <w:rPr>
          <w:rFonts w:ascii="Times New Roman" w:hAnsi="Times New Roman" w:cs="Times New Roman"/>
        </w:rPr>
        <w:t>(1), 5–16. https://doi.org/10.1023/A:1009564812609</w:t>
      </w:r>
    </w:p>
    <w:p w14:paraId="0AFBC2A7"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Lackey, R. (2007). Science, scientists, and policy advocacy. </w:t>
      </w:r>
      <w:r w:rsidRPr="00694B2F">
        <w:rPr>
          <w:rFonts w:ascii="Times New Roman" w:hAnsi="Times New Roman" w:cs="Times New Roman"/>
          <w:i/>
          <w:iCs/>
        </w:rPr>
        <w:t>Conservation Biology</w:t>
      </w:r>
      <w:r w:rsidRPr="00694B2F">
        <w:rPr>
          <w:rFonts w:ascii="Times New Roman" w:hAnsi="Times New Roman" w:cs="Times New Roman"/>
        </w:rPr>
        <w:t xml:space="preserve">, </w:t>
      </w:r>
      <w:r w:rsidRPr="00694B2F">
        <w:rPr>
          <w:rFonts w:ascii="Times New Roman" w:hAnsi="Times New Roman" w:cs="Times New Roman"/>
          <w:i/>
          <w:iCs/>
        </w:rPr>
        <w:t>21</w:t>
      </w:r>
      <w:r w:rsidRPr="00694B2F">
        <w:rPr>
          <w:rFonts w:ascii="Times New Roman" w:hAnsi="Times New Roman" w:cs="Times New Roman"/>
        </w:rPr>
        <w:t>, 12–17. https://doi.org/10.1111/j.1523-1739.2006.00639.x</w:t>
      </w:r>
    </w:p>
    <w:p w14:paraId="5AF9BAE9" w14:textId="77777777" w:rsidR="006B30BC" w:rsidRPr="007D1552" w:rsidRDefault="006B30BC" w:rsidP="006B30BC">
      <w:pPr>
        <w:pStyle w:val="Bibliography"/>
        <w:spacing w:after="120" w:line="240" w:lineRule="auto"/>
        <w:rPr>
          <w:rFonts w:ascii="Times New Roman" w:hAnsi="Times New Roman" w:cs="Times New Roman"/>
        </w:rPr>
      </w:pPr>
      <w:r w:rsidRPr="007D1552">
        <w:rPr>
          <w:rFonts w:ascii="Times New Roman" w:hAnsi="Times New Roman" w:cs="Times New Roman"/>
        </w:rPr>
        <w:t xml:space="preserve">Maag, C. (2024, July 21). How Two Wandering Cows Started a Culture War. </w:t>
      </w:r>
      <w:r w:rsidRPr="007D1552">
        <w:rPr>
          <w:rFonts w:ascii="Times New Roman" w:hAnsi="Times New Roman" w:cs="Times New Roman"/>
          <w:i/>
          <w:iCs/>
        </w:rPr>
        <w:t>The New York Times</w:t>
      </w:r>
      <w:r w:rsidRPr="007D1552">
        <w:rPr>
          <w:rFonts w:ascii="Times New Roman" w:hAnsi="Times New Roman" w:cs="Times New Roman"/>
        </w:rPr>
        <w:t>. https://www.nytimes.com/2024/07/21/nyregion/missing-cows-animal-sanctuary-newfane-ny.html</w:t>
      </w:r>
    </w:p>
    <w:p w14:paraId="77673317"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Macaraig, J. M. R., &amp; Sandberg, L. A. (2009). The Politics of Sewerage: Contested Narratives on Growth, Science, and Nature. </w:t>
      </w:r>
      <w:r w:rsidRPr="00694B2F">
        <w:rPr>
          <w:rFonts w:ascii="Times New Roman" w:hAnsi="Times New Roman" w:cs="Times New Roman"/>
          <w:i/>
          <w:iCs/>
        </w:rPr>
        <w:t>Society &amp; Natural Resources</w:t>
      </w:r>
      <w:r w:rsidRPr="00694B2F">
        <w:rPr>
          <w:rFonts w:ascii="Times New Roman" w:hAnsi="Times New Roman" w:cs="Times New Roman"/>
        </w:rPr>
        <w:t xml:space="preserve">, </w:t>
      </w:r>
      <w:r w:rsidRPr="00694B2F">
        <w:rPr>
          <w:rFonts w:ascii="Times New Roman" w:hAnsi="Times New Roman" w:cs="Times New Roman"/>
          <w:i/>
          <w:iCs/>
        </w:rPr>
        <w:t>22</w:t>
      </w:r>
      <w:r w:rsidRPr="00694B2F">
        <w:rPr>
          <w:rFonts w:ascii="Times New Roman" w:hAnsi="Times New Roman" w:cs="Times New Roman"/>
        </w:rPr>
        <w:t>(5), 448–463. https://doi.org/10.1080/08941920802046437</w:t>
      </w:r>
    </w:p>
    <w:p w14:paraId="4D2002EC"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Nisbet, M. C. (2016). The Ethics of Framing Science. In B. Nerlich, R. Elliott, &amp; B. Larson (Eds.), </w:t>
      </w:r>
      <w:r w:rsidRPr="00694B2F">
        <w:rPr>
          <w:rFonts w:ascii="Times New Roman" w:hAnsi="Times New Roman" w:cs="Times New Roman"/>
          <w:i/>
          <w:iCs/>
        </w:rPr>
        <w:t>Communicating Biological Sciences</w:t>
      </w:r>
      <w:r w:rsidRPr="00694B2F">
        <w:rPr>
          <w:rFonts w:ascii="Times New Roman" w:hAnsi="Times New Roman" w:cs="Times New Roman"/>
        </w:rPr>
        <w:t xml:space="preserve"> (pp. 51–74). Routledge. https://doi.org/10.4324/9781315572888-4</w:t>
      </w:r>
    </w:p>
    <w:p w14:paraId="21E4EB7D" w14:textId="77777777" w:rsidR="00E56A38" w:rsidRPr="007D1552" w:rsidRDefault="00E56A38" w:rsidP="00E56A38">
      <w:pPr>
        <w:pStyle w:val="Bibliography"/>
        <w:spacing w:after="120" w:line="240" w:lineRule="auto"/>
        <w:rPr>
          <w:rFonts w:ascii="Times New Roman" w:hAnsi="Times New Roman" w:cs="Times New Roman"/>
        </w:rPr>
      </w:pPr>
      <w:r w:rsidRPr="007D1552">
        <w:rPr>
          <w:rFonts w:ascii="Times New Roman" w:hAnsi="Times New Roman" w:cs="Times New Roman"/>
        </w:rPr>
        <w:t xml:space="preserve">Pittman, C. (2021, December 9). Waiving rules for moving Florida gopher tortoises helps only developers. </w:t>
      </w:r>
      <w:r w:rsidRPr="007D1552">
        <w:rPr>
          <w:rFonts w:ascii="Times New Roman" w:hAnsi="Times New Roman" w:cs="Times New Roman"/>
          <w:i/>
          <w:iCs/>
        </w:rPr>
        <w:t>Florida Phoenix</w:t>
      </w:r>
      <w:r w:rsidRPr="007D1552">
        <w:rPr>
          <w:rFonts w:ascii="Times New Roman" w:hAnsi="Times New Roman" w:cs="Times New Roman"/>
        </w:rPr>
        <w:t>. https://floridaphoenix.com/2021/12/09/waiving-rules-for-moving-florida-gopher-tortoises-helps-only-developers/</w:t>
      </w:r>
    </w:p>
    <w:p w14:paraId="601D0474"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Priest, S., Goodwin, J., &amp; Dahlstrom, M. F. (Eds.). (2018). </w:t>
      </w:r>
      <w:r w:rsidRPr="00694B2F">
        <w:rPr>
          <w:rFonts w:ascii="Times New Roman" w:hAnsi="Times New Roman" w:cs="Times New Roman"/>
          <w:i/>
          <w:iCs/>
        </w:rPr>
        <w:t>Ethics and Practice in Science Communication</w:t>
      </w:r>
      <w:r w:rsidRPr="00694B2F">
        <w:rPr>
          <w:rFonts w:ascii="Times New Roman" w:hAnsi="Times New Roman" w:cs="Times New Roman"/>
        </w:rPr>
        <w:t>. University of Chicago Press. https://press.uchicago.edu/ucp/books/book/chicago/E/bo27760792.html</w:t>
      </w:r>
    </w:p>
    <w:p w14:paraId="5440C57C"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Sullivan, S., McCann, E., De Young, R., &amp; Erickson, D. (1996). Farmers’ attitudes about farming and the environment: A survey of conventional and organic farmers. </w:t>
      </w:r>
      <w:r w:rsidRPr="00694B2F">
        <w:rPr>
          <w:rFonts w:ascii="Times New Roman" w:hAnsi="Times New Roman" w:cs="Times New Roman"/>
          <w:i/>
          <w:iCs/>
        </w:rPr>
        <w:t>Journal of Agricultural and Environmental Ethics</w:t>
      </w:r>
      <w:r w:rsidRPr="00694B2F">
        <w:rPr>
          <w:rFonts w:ascii="Times New Roman" w:hAnsi="Times New Roman" w:cs="Times New Roman"/>
        </w:rPr>
        <w:t xml:space="preserve">, </w:t>
      </w:r>
      <w:r w:rsidRPr="00694B2F">
        <w:rPr>
          <w:rFonts w:ascii="Times New Roman" w:hAnsi="Times New Roman" w:cs="Times New Roman"/>
          <w:i/>
          <w:iCs/>
        </w:rPr>
        <w:t>9</w:t>
      </w:r>
      <w:r w:rsidRPr="00694B2F">
        <w:rPr>
          <w:rFonts w:ascii="Times New Roman" w:hAnsi="Times New Roman" w:cs="Times New Roman"/>
        </w:rPr>
        <w:t>(2), 123–143. https://doi.org/10.1007/BF03055298</w:t>
      </w:r>
    </w:p>
    <w:p w14:paraId="53E4FCBD"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Sunstein, C. R. (2006). The Availability Heuristic, Intuitive Cost-Benefit Analysis, and Climate Change. </w:t>
      </w:r>
      <w:r w:rsidRPr="00694B2F">
        <w:rPr>
          <w:rFonts w:ascii="Times New Roman" w:hAnsi="Times New Roman" w:cs="Times New Roman"/>
          <w:i/>
          <w:iCs/>
        </w:rPr>
        <w:t>Climatic Change</w:t>
      </w:r>
      <w:r w:rsidRPr="00694B2F">
        <w:rPr>
          <w:rFonts w:ascii="Times New Roman" w:hAnsi="Times New Roman" w:cs="Times New Roman"/>
        </w:rPr>
        <w:t xml:space="preserve">, </w:t>
      </w:r>
      <w:r w:rsidRPr="00694B2F">
        <w:rPr>
          <w:rFonts w:ascii="Times New Roman" w:hAnsi="Times New Roman" w:cs="Times New Roman"/>
          <w:i/>
          <w:iCs/>
        </w:rPr>
        <w:t>77</w:t>
      </w:r>
      <w:r w:rsidRPr="00694B2F">
        <w:rPr>
          <w:rFonts w:ascii="Times New Roman" w:hAnsi="Times New Roman" w:cs="Times New Roman"/>
        </w:rPr>
        <w:t>(1), 195–210. https://doi.org/10.1007/s10584-006-9073-y</w:t>
      </w:r>
    </w:p>
    <w:p w14:paraId="12C0BE92"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Sunstein, C. R. (2010). Moral Heuristics and Risk. In S. Roeser (Ed.), </w:t>
      </w:r>
      <w:r w:rsidRPr="00694B2F">
        <w:rPr>
          <w:rFonts w:ascii="Times New Roman" w:hAnsi="Times New Roman" w:cs="Times New Roman"/>
          <w:i/>
          <w:iCs/>
        </w:rPr>
        <w:t>Emotions and Risky Technologies</w:t>
      </w:r>
      <w:r w:rsidRPr="00694B2F">
        <w:rPr>
          <w:rFonts w:ascii="Times New Roman" w:hAnsi="Times New Roman" w:cs="Times New Roman"/>
        </w:rPr>
        <w:t xml:space="preserve"> (pp. 3–16). Springer Netherlands. https://doi.org/10.1007/978-90-481-8647-1_1</w:t>
      </w:r>
    </w:p>
    <w:p w14:paraId="075BADB3"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Taleb, N. N. (2007). </w:t>
      </w:r>
      <w:r w:rsidRPr="00694B2F">
        <w:rPr>
          <w:rFonts w:ascii="Times New Roman" w:hAnsi="Times New Roman" w:cs="Times New Roman"/>
          <w:i/>
          <w:iCs/>
        </w:rPr>
        <w:t>The black swan: The impact of the Highly improbable</w:t>
      </w:r>
      <w:r w:rsidRPr="00694B2F">
        <w:rPr>
          <w:rFonts w:ascii="Times New Roman" w:hAnsi="Times New Roman" w:cs="Times New Roman"/>
        </w:rPr>
        <w:t>. Random House, Inc.</w:t>
      </w:r>
    </w:p>
    <w:p w14:paraId="63236A84"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Veenstra, A. S., Lyons, B. A., &amp; Fowler-Dawson, A. (2016). Conservatism vs. conservationism: Differential influences of social identities on beliefs about fracking. </w:t>
      </w:r>
      <w:r w:rsidRPr="00694B2F">
        <w:rPr>
          <w:rFonts w:ascii="Times New Roman" w:hAnsi="Times New Roman" w:cs="Times New Roman"/>
          <w:i/>
          <w:iCs/>
        </w:rPr>
        <w:t>Environmental Communication</w:t>
      </w:r>
      <w:r w:rsidRPr="00694B2F">
        <w:rPr>
          <w:rFonts w:ascii="Times New Roman" w:hAnsi="Times New Roman" w:cs="Times New Roman"/>
        </w:rPr>
        <w:t xml:space="preserve">, </w:t>
      </w:r>
      <w:r w:rsidRPr="00694B2F">
        <w:rPr>
          <w:rFonts w:ascii="Times New Roman" w:hAnsi="Times New Roman" w:cs="Times New Roman"/>
          <w:i/>
          <w:iCs/>
        </w:rPr>
        <w:t>10</w:t>
      </w:r>
      <w:r w:rsidRPr="00694B2F">
        <w:rPr>
          <w:rFonts w:ascii="Times New Roman" w:hAnsi="Times New Roman" w:cs="Times New Roman"/>
        </w:rPr>
        <w:t>(3), 322–336. https://doi.org/10.1080/17524032.2015.1127851</w:t>
      </w:r>
    </w:p>
    <w:p w14:paraId="60BA3686" w14:textId="77777777" w:rsidR="00694B2F" w:rsidRPr="00694B2F" w:rsidRDefault="00694B2F" w:rsidP="00694B2F">
      <w:pPr>
        <w:pStyle w:val="Bibliography"/>
        <w:spacing w:after="120" w:line="240" w:lineRule="auto"/>
        <w:rPr>
          <w:rFonts w:ascii="Times New Roman" w:hAnsi="Times New Roman" w:cs="Times New Roman"/>
        </w:rPr>
      </w:pPr>
      <w:r w:rsidRPr="00694B2F">
        <w:rPr>
          <w:rFonts w:ascii="Times New Roman" w:hAnsi="Times New Roman" w:cs="Times New Roman"/>
        </w:rPr>
        <w:t xml:space="preserve">Wilson, M. A. (1997). The wolf in Yellowstone: Science, symbol, or politics? Deconstructing the conflict between environmentalism and wise use. </w:t>
      </w:r>
      <w:r w:rsidRPr="00694B2F">
        <w:rPr>
          <w:rFonts w:ascii="Times New Roman" w:hAnsi="Times New Roman" w:cs="Times New Roman"/>
          <w:i/>
          <w:iCs/>
        </w:rPr>
        <w:t>Society &amp; Natural Resources</w:t>
      </w:r>
      <w:r w:rsidRPr="00694B2F">
        <w:rPr>
          <w:rFonts w:ascii="Times New Roman" w:hAnsi="Times New Roman" w:cs="Times New Roman"/>
        </w:rPr>
        <w:t xml:space="preserve">, </w:t>
      </w:r>
      <w:r w:rsidRPr="00694B2F">
        <w:rPr>
          <w:rFonts w:ascii="Times New Roman" w:hAnsi="Times New Roman" w:cs="Times New Roman"/>
          <w:i/>
          <w:iCs/>
        </w:rPr>
        <w:t>10</w:t>
      </w:r>
      <w:r w:rsidRPr="00694B2F">
        <w:rPr>
          <w:rFonts w:ascii="Times New Roman" w:hAnsi="Times New Roman" w:cs="Times New Roman"/>
        </w:rPr>
        <w:t>(5), 453–468.</w:t>
      </w:r>
    </w:p>
    <w:p w14:paraId="13B2CEF0" w14:textId="77777777" w:rsidR="0072149F" w:rsidRPr="009771B9" w:rsidRDefault="0072149F" w:rsidP="008A00EA">
      <w:pPr>
        <w:spacing w:after="0" w:line="240" w:lineRule="auto"/>
        <w:rPr>
          <w:rFonts w:ascii="Times New Roman" w:eastAsia="Times New Roman" w:hAnsi="Times New Roman" w:cs="Times New Roman"/>
        </w:rPr>
      </w:pPr>
    </w:p>
    <w:p w14:paraId="6FFD513F" w14:textId="77777777" w:rsidR="008A00EA" w:rsidRDefault="008A00EA" w:rsidP="008A00EA">
      <w:pPr>
        <w:spacing w:after="0" w:line="240" w:lineRule="auto"/>
        <w:rPr>
          <w:rFonts w:ascii="Times New Roman" w:eastAsia="Times New Roman" w:hAnsi="Times New Roman" w:cs="Times New Roman"/>
        </w:rPr>
      </w:pPr>
    </w:p>
    <w:p w14:paraId="3D2A205D" w14:textId="4C17C9E7" w:rsidR="00EC4A28" w:rsidRPr="005667C4" w:rsidRDefault="0027321D" w:rsidP="008A00EA">
      <w:pPr>
        <w:pStyle w:val="ListParagraph"/>
        <w:rPr>
          <w:rFonts w:ascii="Times New Roman" w:hAnsi="Times New Roman" w:cs="Times New Roman"/>
        </w:rPr>
      </w:pPr>
      <w:r w:rsidRPr="0085772F">
        <w:rPr>
          <w:rFonts w:ascii="Times New Roman" w:hAnsi="Times New Roman" w:cs="Times New Roman"/>
        </w:rPr>
        <w:t xml:space="preserve"> </w:t>
      </w:r>
    </w:p>
    <w:sectPr w:rsidR="00EC4A28" w:rsidRPr="005667C4" w:rsidSect="0097198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9346" w14:textId="77777777" w:rsidR="002C5FE1" w:rsidRDefault="002C5FE1" w:rsidP="0085772F">
      <w:pPr>
        <w:spacing w:after="0" w:line="240" w:lineRule="auto"/>
      </w:pPr>
      <w:r>
        <w:separator/>
      </w:r>
    </w:p>
  </w:endnote>
  <w:endnote w:type="continuationSeparator" w:id="0">
    <w:p w14:paraId="5F02F8C5" w14:textId="77777777" w:rsidR="002C5FE1" w:rsidRDefault="002C5FE1" w:rsidP="0085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B768" w14:textId="314527C4" w:rsidR="0085772F" w:rsidRPr="001D196B" w:rsidRDefault="00FE5D04">
    <w:pPr>
      <w:pStyle w:val="Footer"/>
      <w:rPr>
        <w:rFonts w:ascii="Times New Roman" w:hAnsi="Times New Roman" w:cs="Times New Roman"/>
        <w:i/>
        <w:iCs/>
        <w:sz w:val="20"/>
        <w:szCs w:val="20"/>
      </w:rPr>
    </w:pPr>
    <w:r w:rsidRPr="001D196B">
      <w:rPr>
        <w:rFonts w:ascii="Times New Roman" w:hAnsi="Times New Roman" w:cs="Times New Roman"/>
        <w:i/>
        <w:iCs/>
        <w:sz w:val="20"/>
        <w:szCs w:val="20"/>
      </w:rPr>
      <w:t>Partisanship and Natural Resources</w:t>
    </w:r>
    <w:r w:rsidRPr="001D196B">
      <w:rPr>
        <w:rFonts w:ascii="Times New Roman" w:hAnsi="Times New Roman" w:cs="Times New Roman"/>
        <w:i/>
        <w:iCs/>
        <w:sz w:val="20"/>
        <w:szCs w:val="20"/>
      </w:rPr>
      <w:ptab w:relativeTo="margin" w:alignment="center" w:leader="none"/>
    </w:r>
    <w:r w:rsidRPr="001D196B">
      <w:rPr>
        <w:rFonts w:ascii="Times New Roman" w:hAnsi="Times New Roman" w:cs="Times New Roman"/>
        <w:sz w:val="20"/>
        <w:szCs w:val="20"/>
      </w:rPr>
      <w:fldChar w:fldCharType="begin"/>
    </w:r>
    <w:r w:rsidRPr="001D196B">
      <w:rPr>
        <w:rFonts w:ascii="Times New Roman" w:hAnsi="Times New Roman" w:cs="Times New Roman"/>
        <w:sz w:val="20"/>
        <w:szCs w:val="20"/>
      </w:rPr>
      <w:instrText xml:space="preserve"> PAGE  \* Arabic  \* MERGEFORMAT </w:instrText>
    </w:r>
    <w:r w:rsidRPr="001D196B">
      <w:rPr>
        <w:rFonts w:ascii="Times New Roman" w:hAnsi="Times New Roman" w:cs="Times New Roman"/>
        <w:sz w:val="20"/>
        <w:szCs w:val="20"/>
      </w:rPr>
      <w:fldChar w:fldCharType="separate"/>
    </w:r>
    <w:r w:rsidRPr="001D196B">
      <w:rPr>
        <w:rFonts w:ascii="Times New Roman" w:hAnsi="Times New Roman" w:cs="Times New Roman"/>
        <w:sz w:val="20"/>
        <w:szCs w:val="20"/>
      </w:rPr>
      <w:t>1</w:t>
    </w:r>
    <w:r w:rsidRPr="001D196B">
      <w:rPr>
        <w:rFonts w:ascii="Times New Roman" w:hAnsi="Times New Roman" w:cs="Times New Roman"/>
        <w:sz w:val="20"/>
        <w:szCs w:val="20"/>
      </w:rPr>
      <w:fldChar w:fldCharType="end"/>
    </w:r>
    <w:r w:rsidRPr="001D196B">
      <w:rPr>
        <w:rFonts w:ascii="Times New Roman" w:hAnsi="Times New Roman" w:cs="Times New Roman"/>
        <w:i/>
        <w:iCs/>
        <w:sz w:val="20"/>
        <w:szCs w:val="20"/>
      </w:rPr>
      <w:ptab w:relativeTo="margin" w:alignment="right" w:leader="none"/>
    </w:r>
    <w:r w:rsidRPr="001D196B">
      <w:rPr>
        <w:rFonts w:ascii="Times New Roman" w:hAnsi="Times New Roman" w:cs="Times New Roman"/>
        <w:i/>
        <w:iCs/>
        <w:sz w:val="20"/>
        <w:szCs w:val="20"/>
      </w:rPr>
      <w:t>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BAEE" w14:textId="77777777" w:rsidR="002C5FE1" w:rsidRDefault="002C5FE1" w:rsidP="0085772F">
      <w:pPr>
        <w:spacing w:after="0" w:line="240" w:lineRule="auto"/>
      </w:pPr>
      <w:r>
        <w:separator/>
      </w:r>
    </w:p>
  </w:footnote>
  <w:footnote w:type="continuationSeparator" w:id="0">
    <w:p w14:paraId="1EB81DB2" w14:textId="77777777" w:rsidR="002C5FE1" w:rsidRDefault="002C5FE1" w:rsidP="00857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42F"/>
    <w:multiLevelType w:val="hybridMultilevel"/>
    <w:tmpl w:val="1DE8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04A41"/>
    <w:multiLevelType w:val="hybridMultilevel"/>
    <w:tmpl w:val="EE2E1CD4"/>
    <w:lvl w:ilvl="0" w:tplc="8D18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0AD8"/>
    <w:multiLevelType w:val="hybridMultilevel"/>
    <w:tmpl w:val="6D9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3858"/>
    <w:multiLevelType w:val="hybridMultilevel"/>
    <w:tmpl w:val="EE12DB5C"/>
    <w:lvl w:ilvl="0" w:tplc="B3F07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5120F"/>
    <w:multiLevelType w:val="hybridMultilevel"/>
    <w:tmpl w:val="0C009A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E816DB"/>
    <w:multiLevelType w:val="hybridMultilevel"/>
    <w:tmpl w:val="255E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A342C"/>
    <w:multiLevelType w:val="multilevel"/>
    <w:tmpl w:val="98F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A46EFC"/>
    <w:multiLevelType w:val="hybridMultilevel"/>
    <w:tmpl w:val="0DE2E8FA"/>
    <w:lvl w:ilvl="0" w:tplc="663440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AC38AB"/>
    <w:multiLevelType w:val="hybridMultilevel"/>
    <w:tmpl w:val="5720D12E"/>
    <w:lvl w:ilvl="0" w:tplc="B3F07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02502"/>
    <w:multiLevelType w:val="multilevel"/>
    <w:tmpl w:val="0E5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FD0028"/>
    <w:multiLevelType w:val="multilevel"/>
    <w:tmpl w:val="4C4E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02523"/>
    <w:multiLevelType w:val="multilevel"/>
    <w:tmpl w:val="B78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63303">
    <w:abstractNumId w:val="11"/>
  </w:num>
  <w:num w:numId="2" w16cid:durableId="48502521">
    <w:abstractNumId w:val="12"/>
  </w:num>
  <w:num w:numId="3" w16cid:durableId="1431119847">
    <w:abstractNumId w:val="6"/>
  </w:num>
  <w:num w:numId="4" w16cid:durableId="853612591">
    <w:abstractNumId w:val="8"/>
  </w:num>
  <w:num w:numId="5" w16cid:durableId="245194048">
    <w:abstractNumId w:val="7"/>
  </w:num>
  <w:num w:numId="6" w16cid:durableId="1149057216">
    <w:abstractNumId w:val="10"/>
    <w:lvlOverride w:ilvl="0">
      <w:startOverride w:val="1"/>
    </w:lvlOverride>
  </w:num>
  <w:num w:numId="7" w16cid:durableId="1432051326">
    <w:abstractNumId w:val="3"/>
  </w:num>
  <w:num w:numId="8" w16cid:durableId="179129155">
    <w:abstractNumId w:val="2"/>
  </w:num>
  <w:num w:numId="9" w16cid:durableId="972634506">
    <w:abstractNumId w:val="4"/>
  </w:num>
  <w:num w:numId="10" w16cid:durableId="1963993445">
    <w:abstractNumId w:val="9"/>
  </w:num>
  <w:num w:numId="11" w16cid:durableId="80638459">
    <w:abstractNumId w:val="0"/>
  </w:num>
  <w:num w:numId="12" w16cid:durableId="1339699357">
    <w:abstractNumId w:val="1"/>
  </w:num>
  <w:num w:numId="13" w16cid:durableId="1955402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34"/>
    <w:rsid w:val="000060D2"/>
    <w:rsid w:val="00026E37"/>
    <w:rsid w:val="00043516"/>
    <w:rsid w:val="00043F7F"/>
    <w:rsid w:val="00047621"/>
    <w:rsid w:val="00053F45"/>
    <w:rsid w:val="00061390"/>
    <w:rsid w:val="00063554"/>
    <w:rsid w:val="00065868"/>
    <w:rsid w:val="00066F6E"/>
    <w:rsid w:val="00083B10"/>
    <w:rsid w:val="00085840"/>
    <w:rsid w:val="00095C67"/>
    <w:rsid w:val="000A499A"/>
    <w:rsid w:val="000A6D03"/>
    <w:rsid w:val="000A7B9D"/>
    <w:rsid w:val="000B5220"/>
    <w:rsid w:val="000B76BB"/>
    <w:rsid w:val="000B7DDF"/>
    <w:rsid w:val="000C01AC"/>
    <w:rsid w:val="000C5094"/>
    <w:rsid w:val="000D41B8"/>
    <w:rsid w:val="000D52BD"/>
    <w:rsid w:val="000D76DA"/>
    <w:rsid w:val="000D7834"/>
    <w:rsid w:val="000F3177"/>
    <w:rsid w:val="00122FD7"/>
    <w:rsid w:val="00125967"/>
    <w:rsid w:val="001306BE"/>
    <w:rsid w:val="001321C2"/>
    <w:rsid w:val="00133002"/>
    <w:rsid w:val="001363BE"/>
    <w:rsid w:val="00137A47"/>
    <w:rsid w:val="00137F73"/>
    <w:rsid w:val="001469EB"/>
    <w:rsid w:val="00154D60"/>
    <w:rsid w:val="0016186A"/>
    <w:rsid w:val="001705FA"/>
    <w:rsid w:val="00174C01"/>
    <w:rsid w:val="00180B76"/>
    <w:rsid w:val="00191A39"/>
    <w:rsid w:val="001924D1"/>
    <w:rsid w:val="0019487B"/>
    <w:rsid w:val="001A3B2C"/>
    <w:rsid w:val="001A4FAA"/>
    <w:rsid w:val="001B4358"/>
    <w:rsid w:val="001B6DEF"/>
    <w:rsid w:val="001C217F"/>
    <w:rsid w:val="001C3453"/>
    <w:rsid w:val="001C34CF"/>
    <w:rsid w:val="001C5D25"/>
    <w:rsid w:val="001C6BB8"/>
    <w:rsid w:val="001D196B"/>
    <w:rsid w:val="001E3DBB"/>
    <w:rsid w:val="001E7088"/>
    <w:rsid w:val="001E79DA"/>
    <w:rsid w:val="001F503A"/>
    <w:rsid w:val="00201073"/>
    <w:rsid w:val="002015B3"/>
    <w:rsid w:val="002070A3"/>
    <w:rsid w:val="00207B5E"/>
    <w:rsid w:val="002102FB"/>
    <w:rsid w:val="00210C3B"/>
    <w:rsid w:val="00220AB3"/>
    <w:rsid w:val="00221BF3"/>
    <w:rsid w:val="002232FD"/>
    <w:rsid w:val="00227E1A"/>
    <w:rsid w:val="00232C1D"/>
    <w:rsid w:val="00240FF9"/>
    <w:rsid w:val="00250FC9"/>
    <w:rsid w:val="00251CB8"/>
    <w:rsid w:val="00252E41"/>
    <w:rsid w:val="00261B57"/>
    <w:rsid w:val="00263409"/>
    <w:rsid w:val="00270666"/>
    <w:rsid w:val="0027321D"/>
    <w:rsid w:val="00274ADF"/>
    <w:rsid w:val="0028381B"/>
    <w:rsid w:val="002858BD"/>
    <w:rsid w:val="002921AA"/>
    <w:rsid w:val="0029566F"/>
    <w:rsid w:val="002975C4"/>
    <w:rsid w:val="002976BA"/>
    <w:rsid w:val="002A37FC"/>
    <w:rsid w:val="002B79ED"/>
    <w:rsid w:val="002C10CB"/>
    <w:rsid w:val="002C5C88"/>
    <w:rsid w:val="002C5FE1"/>
    <w:rsid w:val="002E4A44"/>
    <w:rsid w:val="002F0594"/>
    <w:rsid w:val="002F616A"/>
    <w:rsid w:val="00306580"/>
    <w:rsid w:val="0032095F"/>
    <w:rsid w:val="0032496F"/>
    <w:rsid w:val="00326228"/>
    <w:rsid w:val="00334008"/>
    <w:rsid w:val="00334016"/>
    <w:rsid w:val="003403CD"/>
    <w:rsid w:val="003536C0"/>
    <w:rsid w:val="00353B15"/>
    <w:rsid w:val="00356256"/>
    <w:rsid w:val="00357BAD"/>
    <w:rsid w:val="00357D29"/>
    <w:rsid w:val="00363F3B"/>
    <w:rsid w:val="003668D1"/>
    <w:rsid w:val="00366AAB"/>
    <w:rsid w:val="00373FC7"/>
    <w:rsid w:val="003743A0"/>
    <w:rsid w:val="00386D76"/>
    <w:rsid w:val="003A00DB"/>
    <w:rsid w:val="003A0581"/>
    <w:rsid w:val="003A1940"/>
    <w:rsid w:val="003A3FE8"/>
    <w:rsid w:val="003A71B1"/>
    <w:rsid w:val="003A7A52"/>
    <w:rsid w:val="003B2892"/>
    <w:rsid w:val="003B5DA5"/>
    <w:rsid w:val="003C34E0"/>
    <w:rsid w:val="003D04FD"/>
    <w:rsid w:val="003D4CE0"/>
    <w:rsid w:val="003E5409"/>
    <w:rsid w:val="003E732C"/>
    <w:rsid w:val="003F2DC5"/>
    <w:rsid w:val="003F3071"/>
    <w:rsid w:val="003F76FF"/>
    <w:rsid w:val="00414067"/>
    <w:rsid w:val="0041617D"/>
    <w:rsid w:val="00416CED"/>
    <w:rsid w:val="00417F40"/>
    <w:rsid w:val="0045042B"/>
    <w:rsid w:val="00463D58"/>
    <w:rsid w:val="004701CD"/>
    <w:rsid w:val="00470682"/>
    <w:rsid w:val="00470F80"/>
    <w:rsid w:val="004724F2"/>
    <w:rsid w:val="004744EC"/>
    <w:rsid w:val="00480A12"/>
    <w:rsid w:val="00484584"/>
    <w:rsid w:val="004903A2"/>
    <w:rsid w:val="004A0F74"/>
    <w:rsid w:val="004A2C47"/>
    <w:rsid w:val="004B40C1"/>
    <w:rsid w:val="004B6719"/>
    <w:rsid w:val="004B73DB"/>
    <w:rsid w:val="004C2DC9"/>
    <w:rsid w:val="004D08B9"/>
    <w:rsid w:val="004E5A3A"/>
    <w:rsid w:val="00502D49"/>
    <w:rsid w:val="00504770"/>
    <w:rsid w:val="0050538C"/>
    <w:rsid w:val="005201AE"/>
    <w:rsid w:val="00520996"/>
    <w:rsid w:val="0052260D"/>
    <w:rsid w:val="00527518"/>
    <w:rsid w:val="00550D2C"/>
    <w:rsid w:val="00552F47"/>
    <w:rsid w:val="00557CB1"/>
    <w:rsid w:val="0056051C"/>
    <w:rsid w:val="00561E39"/>
    <w:rsid w:val="0056203D"/>
    <w:rsid w:val="0056327B"/>
    <w:rsid w:val="005636C8"/>
    <w:rsid w:val="00563955"/>
    <w:rsid w:val="005667C4"/>
    <w:rsid w:val="005711AE"/>
    <w:rsid w:val="005727B5"/>
    <w:rsid w:val="00574FDE"/>
    <w:rsid w:val="00575A89"/>
    <w:rsid w:val="00592689"/>
    <w:rsid w:val="005935DD"/>
    <w:rsid w:val="005A54F6"/>
    <w:rsid w:val="005B2E23"/>
    <w:rsid w:val="005C1EDB"/>
    <w:rsid w:val="005C68FD"/>
    <w:rsid w:val="005E0739"/>
    <w:rsid w:val="005E19AE"/>
    <w:rsid w:val="005E6094"/>
    <w:rsid w:val="005F1698"/>
    <w:rsid w:val="005F2F66"/>
    <w:rsid w:val="005F485D"/>
    <w:rsid w:val="005F5911"/>
    <w:rsid w:val="005F7E89"/>
    <w:rsid w:val="006040B2"/>
    <w:rsid w:val="006043E6"/>
    <w:rsid w:val="0061203F"/>
    <w:rsid w:val="00616A41"/>
    <w:rsid w:val="00626E36"/>
    <w:rsid w:val="006351ED"/>
    <w:rsid w:val="00637CFC"/>
    <w:rsid w:val="006410AB"/>
    <w:rsid w:val="00641772"/>
    <w:rsid w:val="0064298A"/>
    <w:rsid w:val="00647D64"/>
    <w:rsid w:val="00647EDD"/>
    <w:rsid w:val="00656C50"/>
    <w:rsid w:val="0066349F"/>
    <w:rsid w:val="00664BA2"/>
    <w:rsid w:val="00664F6D"/>
    <w:rsid w:val="00666853"/>
    <w:rsid w:val="006671C3"/>
    <w:rsid w:val="006749D8"/>
    <w:rsid w:val="00682AA3"/>
    <w:rsid w:val="006830C0"/>
    <w:rsid w:val="006841E0"/>
    <w:rsid w:val="00686834"/>
    <w:rsid w:val="00686A7B"/>
    <w:rsid w:val="00690232"/>
    <w:rsid w:val="006942BB"/>
    <w:rsid w:val="00694B2F"/>
    <w:rsid w:val="00697537"/>
    <w:rsid w:val="00697995"/>
    <w:rsid w:val="006A0445"/>
    <w:rsid w:val="006A1236"/>
    <w:rsid w:val="006A3DE3"/>
    <w:rsid w:val="006A68E2"/>
    <w:rsid w:val="006B30BC"/>
    <w:rsid w:val="006B4D9F"/>
    <w:rsid w:val="006B681F"/>
    <w:rsid w:val="006C1FD4"/>
    <w:rsid w:val="006D6CA5"/>
    <w:rsid w:val="006E61D9"/>
    <w:rsid w:val="006E7F5A"/>
    <w:rsid w:val="006F0344"/>
    <w:rsid w:val="006F79BE"/>
    <w:rsid w:val="00700C4B"/>
    <w:rsid w:val="007027A7"/>
    <w:rsid w:val="0070383F"/>
    <w:rsid w:val="007103C1"/>
    <w:rsid w:val="00711513"/>
    <w:rsid w:val="00713E2F"/>
    <w:rsid w:val="00720423"/>
    <w:rsid w:val="0072149F"/>
    <w:rsid w:val="007218D4"/>
    <w:rsid w:val="0072514D"/>
    <w:rsid w:val="00732C8D"/>
    <w:rsid w:val="00737A0F"/>
    <w:rsid w:val="00741D50"/>
    <w:rsid w:val="00745682"/>
    <w:rsid w:val="00776FD1"/>
    <w:rsid w:val="00781BF5"/>
    <w:rsid w:val="00781F35"/>
    <w:rsid w:val="007829F0"/>
    <w:rsid w:val="00786AB4"/>
    <w:rsid w:val="00795750"/>
    <w:rsid w:val="007A2B40"/>
    <w:rsid w:val="007B23F1"/>
    <w:rsid w:val="007B6436"/>
    <w:rsid w:val="007C5A44"/>
    <w:rsid w:val="007C7E76"/>
    <w:rsid w:val="007D6E86"/>
    <w:rsid w:val="007E4C72"/>
    <w:rsid w:val="007E5C05"/>
    <w:rsid w:val="007F1E7D"/>
    <w:rsid w:val="00801FB7"/>
    <w:rsid w:val="00802B06"/>
    <w:rsid w:val="00804AF1"/>
    <w:rsid w:val="008077E9"/>
    <w:rsid w:val="008112AB"/>
    <w:rsid w:val="008157F9"/>
    <w:rsid w:val="00815B1A"/>
    <w:rsid w:val="00830BAC"/>
    <w:rsid w:val="00836F4D"/>
    <w:rsid w:val="008514AE"/>
    <w:rsid w:val="008530C8"/>
    <w:rsid w:val="0085772F"/>
    <w:rsid w:val="00857910"/>
    <w:rsid w:val="00860D89"/>
    <w:rsid w:val="008621E4"/>
    <w:rsid w:val="0086397D"/>
    <w:rsid w:val="00872E30"/>
    <w:rsid w:val="008819CF"/>
    <w:rsid w:val="00887B2C"/>
    <w:rsid w:val="00887E75"/>
    <w:rsid w:val="00896556"/>
    <w:rsid w:val="008A00EA"/>
    <w:rsid w:val="008A19F1"/>
    <w:rsid w:val="008A2C82"/>
    <w:rsid w:val="008A4B5A"/>
    <w:rsid w:val="008A628E"/>
    <w:rsid w:val="008B105C"/>
    <w:rsid w:val="008B44B5"/>
    <w:rsid w:val="008B6317"/>
    <w:rsid w:val="008E2FE8"/>
    <w:rsid w:val="008E38E6"/>
    <w:rsid w:val="008E44F4"/>
    <w:rsid w:val="008E6681"/>
    <w:rsid w:val="008E6BEC"/>
    <w:rsid w:val="008F1CDA"/>
    <w:rsid w:val="008F4507"/>
    <w:rsid w:val="008F582F"/>
    <w:rsid w:val="009023B8"/>
    <w:rsid w:val="00904602"/>
    <w:rsid w:val="009204D8"/>
    <w:rsid w:val="00922F13"/>
    <w:rsid w:val="00941428"/>
    <w:rsid w:val="009548BA"/>
    <w:rsid w:val="00956C98"/>
    <w:rsid w:val="00961D42"/>
    <w:rsid w:val="009620E9"/>
    <w:rsid w:val="0097050E"/>
    <w:rsid w:val="00970699"/>
    <w:rsid w:val="00971389"/>
    <w:rsid w:val="00971982"/>
    <w:rsid w:val="00973F09"/>
    <w:rsid w:val="00985559"/>
    <w:rsid w:val="00985774"/>
    <w:rsid w:val="0099426F"/>
    <w:rsid w:val="009A78EB"/>
    <w:rsid w:val="009B1404"/>
    <w:rsid w:val="009B3B93"/>
    <w:rsid w:val="009B5BC5"/>
    <w:rsid w:val="009C2478"/>
    <w:rsid w:val="009E3B38"/>
    <w:rsid w:val="009F0729"/>
    <w:rsid w:val="009F30E0"/>
    <w:rsid w:val="009F3DFF"/>
    <w:rsid w:val="009F43EC"/>
    <w:rsid w:val="009F57C3"/>
    <w:rsid w:val="009F7C0C"/>
    <w:rsid w:val="00A01B91"/>
    <w:rsid w:val="00A06B82"/>
    <w:rsid w:val="00A129B6"/>
    <w:rsid w:val="00A13E6F"/>
    <w:rsid w:val="00A14AD9"/>
    <w:rsid w:val="00A25DD1"/>
    <w:rsid w:val="00A357FA"/>
    <w:rsid w:val="00A3688E"/>
    <w:rsid w:val="00A410A3"/>
    <w:rsid w:val="00A462E7"/>
    <w:rsid w:val="00A5067B"/>
    <w:rsid w:val="00A61A69"/>
    <w:rsid w:val="00A66D7B"/>
    <w:rsid w:val="00A87E48"/>
    <w:rsid w:val="00A91CB9"/>
    <w:rsid w:val="00A97F89"/>
    <w:rsid w:val="00AA31DB"/>
    <w:rsid w:val="00AB389F"/>
    <w:rsid w:val="00AC1D28"/>
    <w:rsid w:val="00AC1E38"/>
    <w:rsid w:val="00AC26BB"/>
    <w:rsid w:val="00AE2138"/>
    <w:rsid w:val="00B00200"/>
    <w:rsid w:val="00B159C6"/>
    <w:rsid w:val="00B17ECA"/>
    <w:rsid w:val="00B22D82"/>
    <w:rsid w:val="00B2600F"/>
    <w:rsid w:val="00B32160"/>
    <w:rsid w:val="00B33D56"/>
    <w:rsid w:val="00B41976"/>
    <w:rsid w:val="00B43087"/>
    <w:rsid w:val="00B437DA"/>
    <w:rsid w:val="00B47F81"/>
    <w:rsid w:val="00B5243C"/>
    <w:rsid w:val="00B65043"/>
    <w:rsid w:val="00B65642"/>
    <w:rsid w:val="00B74B29"/>
    <w:rsid w:val="00B74FDC"/>
    <w:rsid w:val="00B83E4B"/>
    <w:rsid w:val="00BA6E45"/>
    <w:rsid w:val="00BC1734"/>
    <w:rsid w:val="00BC6294"/>
    <w:rsid w:val="00BC7E05"/>
    <w:rsid w:val="00BD3893"/>
    <w:rsid w:val="00BF0372"/>
    <w:rsid w:val="00BF133E"/>
    <w:rsid w:val="00BF4AD1"/>
    <w:rsid w:val="00BF4B3A"/>
    <w:rsid w:val="00C02394"/>
    <w:rsid w:val="00C107B8"/>
    <w:rsid w:val="00C1275C"/>
    <w:rsid w:val="00C23081"/>
    <w:rsid w:val="00C27772"/>
    <w:rsid w:val="00C278D9"/>
    <w:rsid w:val="00C27AFA"/>
    <w:rsid w:val="00C354A5"/>
    <w:rsid w:val="00C4327B"/>
    <w:rsid w:val="00C432EB"/>
    <w:rsid w:val="00C43459"/>
    <w:rsid w:val="00C438AC"/>
    <w:rsid w:val="00C44D4D"/>
    <w:rsid w:val="00C51F6F"/>
    <w:rsid w:val="00C554D2"/>
    <w:rsid w:val="00C755F3"/>
    <w:rsid w:val="00C76987"/>
    <w:rsid w:val="00C76A69"/>
    <w:rsid w:val="00C80F43"/>
    <w:rsid w:val="00C827AB"/>
    <w:rsid w:val="00C87E3C"/>
    <w:rsid w:val="00C90825"/>
    <w:rsid w:val="00C93891"/>
    <w:rsid w:val="00C94076"/>
    <w:rsid w:val="00C954C7"/>
    <w:rsid w:val="00CA7F9F"/>
    <w:rsid w:val="00CB0BBA"/>
    <w:rsid w:val="00CB1075"/>
    <w:rsid w:val="00CB39C6"/>
    <w:rsid w:val="00CC2C6A"/>
    <w:rsid w:val="00CD19EA"/>
    <w:rsid w:val="00CE3AAB"/>
    <w:rsid w:val="00CE3D40"/>
    <w:rsid w:val="00D0568C"/>
    <w:rsid w:val="00D114F0"/>
    <w:rsid w:val="00D13B7E"/>
    <w:rsid w:val="00D21D76"/>
    <w:rsid w:val="00D2740B"/>
    <w:rsid w:val="00D34D69"/>
    <w:rsid w:val="00D421CF"/>
    <w:rsid w:val="00D513C0"/>
    <w:rsid w:val="00D52288"/>
    <w:rsid w:val="00D639BE"/>
    <w:rsid w:val="00D66EF5"/>
    <w:rsid w:val="00D66F42"/>
    <w:rsid w:val="00D7131A"/>
    <w:rsid w:val="00D757CD"/>
    <w:rsid w:val="00D96A1D"/>
    <w:rsid w:val="00DA0320"/>
    <w:rsid w:val="00DA24DA"/>
    <w:rsid w:val="00DA433A"/>
    <w:rsid w:val="00DA5DE8"/>
    <w:rsid w:val="00DB030C"/>
    <w:rsid w:val="00DB4A40"/>
    <w:rsid w:val="00DB66D7"/>
    <w:rsid w:val="00DB70C3"/>
    <w:rsid w:val="00DC776A"/>
    <w:rsid w:val="00DD144C"/>
    <w:rsid w:val="00DE5974"/>
    <w:rsid w:val="00DE6CDD"/>
    <w:rsid w:val="00E20979"/>
    <w:rsid w:val="00E20AA8"/>
    <w:rsid w:val="00E22632"/>
    <w:rsid w:val="00E24D82"/>
    <w:rsid w:val="00E25216"/>
    <w:rsid w:val="00E26D07"/>
    <w:rsid w:val="00E4538A"/>
    <w:rsid w:val="00E510A7"/>
    <w:rsid w:val="00E56A38"/>
    <w:rsid w:val="00E61039"/>
    <w:rsid w:val="00E6146C"/>
    <w:rsid w:val="00E73F40"/>
    <w:rsid w:val="00E771C1"/>
    <w:rsid w:val="00E808C7"/>
    <w:rsid w:val="00E8205B"/>
    <w:rsid w:val="00E87E53"/>
    <w:rsid w:val="00E91288"/>
    <w:rsid w:val="00E954AA"/>
    <w:rsid w:val="00EB11E0"/>
    <w:rsid w:val="00EB1D88"/>
    <w:rsid w:val="00EB5477"/>
    <w:rsid w:val="00EC4A28"/>
    <w:rsid w:val="00ED5FDD"/>
    <w:rsid w:val="00ED7AFD"/>
    <w:rsid w:val="00EE27C8"/>
    <w:rsid w:val="00EE2939"/>
    <w:rsid w:val="00EF1A78"/>
    <w:rsid w:val="00EF4614"/>
    <w:rsid w:val="00F00DCD"/>
    <w:rsid w:val="00F03D38"/>
    <w:rsid w:val="00F065F4"/>
    <w:rsid w:val="00F12C29"/>
    <w:rsid w:val="00F168C3"/>
    <w:rsid w:val="00F22E45"/>
    <w:rsid w:val="00F27E8E"/>
    <w:rsid w:val="00F327B1"/>
    <w:rsid w:val="00F344B3"/>
    <w:rsid w:val="00F446BD"/>
    <w:rsid w:val="00F504DA"/>
    <w:rsid w:val="00F62B4F"/>
    <w:rsid w:val="00F83383"/>
    <w:rsid w:val="00F95DF1"/>
    <w:rsid w:val="00FA5487"/>
    <w:rsid w:val="00FA5AA2"/>
    <w:rsid w:val="00FB34D3"/>
    <w:rsid w:val="00FC0354"/>
    <w:rsid w:val="00FC2C0A"/>
    <w:rsid w:val="00FC4B8F"/>
    <w:rsid w:val="00FD0B8E"/>
    <w:rsid w:val="00FD7CBE"/>
    <w:rsid w:val="00FE5D0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8300A"/>
  <w15:chartTrackingRefBased/>
  <w15:docId w15:val="{2DD81CE8-1C5E-4259-A8B6-886186C0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A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3E6"/>
    <w:pPr>
      <w:ind w:left="720"/>
      <w:contextualSpacing/>
    </w:pPr>
  </w:style>
  <w:style w:type="character" w:styleId="Hyperlink">
    <w:name w:val="Hyperlink"/>
    <w:basedOn w:val="DefaultParagraphFont"/>
    <w:uiPriority w:val="99"/>
    <w:unhideWhenUsed/>
    <w:rsid w:val="00EE2939"/>
    <w:rPr>
      <w:color w:val="0563C1" w:themeColor="hyperlink"/>
      <w:u w:val="single"/>
    </w:rPr>
  </w:style>
  <w:style w:type="character" w:styleId="UnresolvedMention">
    <w:name w:val="Unresolved Mention"/>
    <w:basedOn w:val="DefaultParagraphFont"/>
    <w:uiPriority w:val="99"/>
    <w:semiHidden/>
    <w:unhideWhenUsed/>
    <w:rsid w:val="00EE2939"/>
    <w:rPr>
      <w:color w:val="605E5C"/>
      <w:shd w:val="clear" w:color="auto" w:fill="E1DFDD"/>
    </w:rPr>
  </w:style>
  <w:style w:type="paragraph" w:customStyle="1" w:styleId="Default">
    <w:name w:val="Default"/>
    <w:rsid w:val="00A462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462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4076"/>
    <w:rPr>
      <w:color w:val="954F72" w:themeColor="followedHyperlink"/>
      <w:u w:val="single"/>
    </w:rPr>
  </w:style>
  <w:style w:type="paragraph" w:styleId="Header">
    <w:name w:val="header"/>
    <w:basedOn w:val="Normal"/>
    <w:link w:val="HeaderChar"/>
    <w:uiPriority w:val="99"/>
    <w:unhideWhenUsed/>
    <w:rsid w:val="0085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2F"/>
  </w:style>
  <w:style w:type="paragraph" w:styleId="Footer">
    <w:name w:val="footer"/>
    <w:basedOn w:val="Normal"/>
    <w:link w:val="FooterChar"/>
    <w:uiPriority w:val="99"/>
    <w:unhideWhenUsed/>
    <w:rsid w:val="0085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2F"/>
  </w:style>
  <w:style w:type="table" w:styleId="PlainTable2">
    <w:name w:val="Plain Table 2"/>
    <w:basedOn w:val="TableNormal"/>
    <w:uiPriority w:val="42"/>
    <w:rsid w:val="007218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C4A28"/>
    <w:pPr>
      <w:spacing w:after="0" w:line="480" w:lineRule="auto"/>
      <w:ind w:left="720" w:hanging="720"/>
    </w:pPr>
  </w:style>
  <w:style w:type="character" w:styleId="CommentReference">
    <w:name w:val="annotation reference"/>
    <w:basedOn w:val="DefaultParagraphFont"/>
    <w:uiPriority w:val="99"/>
    <w:semiHidden/>
    <w:unhideWhenUsed/>
    <w:rsid w:val="00C44D4D"/>
    <w:rPr>
      <w:sz w:val="16"/>
      <w:szCs w:val="16"/>
    </w:rPr>
  </w:style>
  <w:style w:type="paragraph" w:styleId="CommentText">
    <w:name w:val="annotation text"/>
    <w:basedOn w:val="Normal"/>
    <w:link w:val="CommentTextChar"/>
    <w:uiPriority w:val="99"/>
    <w:semiHidden/>
    <w:unhideWhenUsed/>
    <w:rsid w:val="00C44D4D"/>
    <w:pPr>
      <w:spacing w:line="240" w:lineRule="auto"/>
    </w:pPr>
    <w:rPr>
      <w:sz w:val="20"/>
      <w:szCs w:val="20"/>
    </w:rPr>
  </w:style>
  <w:style w:type="character" w:customStyle="1" w:styleId="CommentTextChar">
    <w:name w:val="Comment Text Char"/>
    <w:basedOn w:val="DefaultParagraphFont"/>
    <w:link w:val="CommentText"/>
    <w:uiPriority w:val="99"/>
    <w:semiHidden/>
    <w:rsid w:val="00C44D4D"/>
    <w:rPr>
      <w:sz w:val="20"/>
      <w:szCs w:val="20"/>
    </w:rPr>
  </w:style>
  <w:style w:type="paragraph" w:styleId="CommentSubject">
    <w:name w:val="annotation subject"/>
    <w:basedOn w:val="CommentText"/>
    <w:next w:val="CommentText"/>
    <w:link w:val="CommentSubjectChar"/>
    <w:uiPriority w:val="99"/>
    <w:semiHidden/>
    <w:unhideWhenUsed/>
    <w:rsid w:val="00C44D4D"/>
    <w:rPr>
      <w:b/>
      <w:bCs/>
    </w:rPr>
  </w:style>
  <w:style w:type="character" w:customStyle="1" w:styleId="CommentSubjectChar">
    <w:name w:val="Comment Subject Char"/>
    <w:basedOn w:val="CommentTextChar"/>
    <w:link w:val="CommentSubject"/>
    <w:uiPriority w:val="99"/>
    <w:semiHidden/>
    <w:rsid w:val="00C44D4D"/>
    <w:rPr>
      <w:b/>
      <w:bCs/>
      <w:sz w:val="20"/>
      <w:szCs w:val="20"/>
    </w:rPr>
  </w:style>
  <w:style w:type="paragraph" w:styleId="BalloonText">
    <w:name w:val="Balloon Text"/>
    <w:basedOn w:val="Normal"/>
    <w:link w:val="BalloonTextChar"/>
    <w:uiPriority w:val="99"/>
    <w:semiHidden/>
    <w:unhideWhenUsed/>
    <w:rsid w:val="00C44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1774">
      <w:bodyDiv w:val="1"/>
      <w:marLeft w:val="0"/>
      <w:marRight w:val="0"/>
      <w:marTop w:val="0"/>
      <w:marBottom w:val="0"/>
      <w:divBdr>
        <w:top w:val="none" w:sz="0" w:space="0" w:color="auto"/>
        <w:left w:val="none" w:sz="0" w:space="0" w:color="auto"/>
        <w:bottom w:val="none" w:sz="0" w:space="0" w:color="auto"/>
        <w:right w:val="none" w:sz="0" w:space="0" w:color="auto"/>
      </w:divBdr>
    </w:div>
    <w:div w:id="326399212">
      <w:bodyDiv w:val="1"/>
      <w:marLeft w:val="0"/>
      <w:marRight w:val="0"/>
      <w:marTop w:val="0"/>
      <w:marBottom w:val="0"/>
      <w:divBdr>
        <w:top w:val="none" w:sz="0" w:space="0" w:color="auto"/>
        <w:left w:val="none" w:sz="0" w:space="0" w:color="auto"/>
        <w:bottom w:val="none" w:sz="0" w:space="0" w:color="auto"/>
        <w:right w:val="none" w:sz="0" w:space="0" w:color="auto"/>
      </w:divBdr>
    </w:div>
    <w:div w:id="394592700">
      <w:bodyDiv w:val="1"/>
      <w:marLeft w:val="0"/>
      <w:marRight w:val="0"/>
      <w:marTop w:val="0"/>
      <w:marBottom w:val="0"/>
      <w:divBdr>
        <w:top w:val="none" w:sz="0" w:space="0" w:color="auto"/>
        <w:left w:val="none" w:sz="0" w:space="0" w:color="auto"/>
        <w:bottom w:val="none" w:sz="0" w:space="0" w:color="auto"/>
        <w:right w:val="none" w:sz="0" w:space="0" w:color="auto"/>
      </w:divBdr>
    </w:div>
    <w:div w:id="1124351025">
      <w:bodyDiv w:val="1"/>
      <w:marLeft w:val="0"/>
      <w:marRight w:val="0"/>
      <w:marTop w:val="0"/>
      <w:marBottom w:val="0"/>
      <w:divBdr>
        <w:top w:val="none" w:sz="0" w:space="0" w:color="auto"/>
        <w:left w:val="none" w:sz="0" w:space="0" w:color="auto"/>
        <w:bottom w:val="none" w:sz="0" w:space="0" w:color="auto"/>
        <w:right w:val="none" w:sz="0" w:space="0" w:color="auto"/>
      </w:divBdr>
    </w:div>
    <w:div w:id="1542743056">
      <w:bodyDiv w:val="1"/>
      <w:marLeft w:val="0"/>
      <w:marRight w:val="0"/>
      <w:marTop w:val="0"/>
      <w:marBottom w:val="0"/>
      <w:divBdr>
        <w:top w:val="none" w:sz="0" w:space="0" w:color="auto"/>
        <w:left w:val="none" w:sz="0" w:space="0" w:color="auto"/>
        <w:bottom w:val="none" w:sz="0" w:space="0" w:color="auto"/>
        <w:right w:val="none" w:sz="0" w:space="0" w:color="auto"/>
      </w:divBdr>
    </w:div>
    <w:div w:id="2075396110">
      <w:bodyDiv w:val="1"/>
      <w:marLeft w:val="0"/>
      <w:marRight w:val="0"/>
      <w:marTop w:val="0"/>
      <w:marBottom w:val="0"/>
      <w:divBdr>
        <w:top w:val="none" w:sz="0" w:space="0" w:color="auto"/>
        <w:left w:val="none" w:sz="0" w:space="0" w:color="auto"/>
        <w:bottom w:val="none" w:sz="0" w:space="0" w:color="auto"/>
        <w:right w:val="none" w:sz="0" w:space="0" w:color="auto"/>
      </w:divBdr>
    </w:div>
    <w:div w:id="21002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llabus.ufl.edu/syllabus-policy/uf-syllabus-policy-link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1D2F-B5EB-4B44-B2FA-2DB3CD02785D}">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B3A4B14E-1E3F-4E07-B103-E0228A16C4FE}">
  <ds:schemaRefs>
    <ds:schemaRef ds:uri="http://schemas.microsoft.com/sharepoint/v3/contenttype/forms"/>
  </ds:schemaRefs>
</ds:datastoreItem>
</file>

<file path=customXml/itemProps3.xml><?xml version="1.0" encoding="utf-8"?>
<ds:datastoreItem xmlns:ds="http://schemas.openxmlformats.org/officeDocument/2006/customXml" ds:itemID="{AAF880F3-5671-4F88-9E6B-FA93B46C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Hundemer</dc:creator>
  <cp:keywords/>
  <dc:description/>
  <cp:lastModifiedBy>Pearce, Aubrey</cp:lastModifiedBy>
  <cp:revision>2</cp:revision>
  <cp:lastPrinted>2021-12-06T16:32:00Z</cp:lastPrinted>
  <dcterms:created xsi:type="dcterms:W3CDTF">2025-08-05T18:13:00Z</dcterms:created>
  <dcterms:modified xsi:type="dcterms:W3CDTF">2025-08-05T18:13:00Z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id="4vi0FhzU"/&gt;&lt;style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0df5c2f7fae8509aa2d9c3fd507a5d532a3eb6fbdf5e17db41c46b1189dea220</vt:lpwstr>
  </property>
  <property fmtid="{D5CDD505-2E9C-101B-9397-08002B2CF9AE}" pid="5" name="ContentTypeId">
    <vt:lpwstr>0x010100F399A9B118BD5F4D9757670B33E2EFFA</vt:lpwstr>
  </property>
</Properties>
</file>